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9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30.06.2025 № 059-19-01-11-72</w:t>
      </w:r>
      <w:r>
        <w:rPr>
          <w:sz w:val="28"/>
          <w:szCs w:val="28"/>
        </w:rPr>
      </w:r>
    </w:p>
    <w:p>
      <w:pPr>
        <w:pStyle w:val="686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9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07.08.2025 электронного аукциона на право заключения договора аренды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на право заключения договора аренды земельного участка </w:t>
        <w:br/>
        <w:t xml:space="preserve">(далее – аукцион) провод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тся в соответствии со статья</w:t>
      </w:r>
      <w:r>
        <w:rPr>
          <w:shd w:val="clear" w:color="auto" w:fill="ffffff"/>
        </w:rPr>
        <w:t xml:space="preserve">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</w:t>
      </w:r>
      <w:r>
        <w:rPr>
          <w:shd w:val="clear" w:color="auto" w:fill="ffffff"/>
        </w:rPr>
        <w:t xml:space="preserve">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</w:t>
      </w:r>
      <w:r>
        <w:rPr>
          <w:shd w:val="clear" w:color="auto" w:fill="ffffff"/>
        </w:rPr>
        <w:t xml:space="preserve">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30.06.2025 № 059-19-01-11-72.</w:t>
      </w:r>
      <w:r>
        <w:rPr>
          <w:sz w:val="24"/>
          <w:szCs w:val="24"/>
        </w:rPr>
      </w:r>
    </w:p>
    <w:p>
      <w:pPr>
        <w:pStyle w:val="819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9"/>
            <w:sz w:val="24"/>
            <w:szCs w:val="24"/>
          </w:rPr>
          <w:t xml:space="preserve">http</w:t>
        </w:r>
        <w:r>
          <w:rPr>
            <w:rStyle w:val="769"/>
            <w:sz w:val="24"/>
            <w:szCs w:val="24"/>
            <w:lang w:val="ru-RU"/>
          </w:rPr>
          <w:t xml:space="preserve">://</w:t>
        </w:r>
        <w:r>
          <w:rPr>
            <w:rStyle w:val="769"/>
            <w:sz w:val="24"/>
            <w:szCs w:val="24"/>
          </w:rPr>
          <w:t xml:space="preserve">utp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sberbank</w:t>
        </w:r>
        <w:r>
          <w:rPr>
            <w:rStyle w:val="769"/>
            <w:sz w:val="24"/>
            <w:szCs w:val="24"/>
            <w:lang w:val="ru-RU"/>
          </w:rPr>
          <w:t xml:space="preserve">-</w:t>
        </w:r>
        <w:r>
          <w:rPr>
            <w:rStyle w:val="769"/>
            <w:sz w:val="24"/>
            <w:szCs w:val="24"/>
          </w:rPr>
          <w:t xml:space="preserve">ast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9"/>
          <w:bCs/>
          <w:sz w:val="24"/>
          <w:szCs w:val="24"/>
          <w:lang w:val="en-US"/>
        </w:rPr>
        <w:t xml:space="preserve">dzo</w:t>
      </w:r>
      <w:r>
        <w:rPr>
          <w:rStyle w:val="769"/>
          <w:bCs/>
          <w:sz w:val="24"/>
          <w:szCs w:val="24"/>
        </w:rPr>
        <w:t xml:space="preserve">@</w:t>
      </w:r>
      <w:r>
        <w:rPr>
          <w:rStyle w:val="769"/>
          <w:bCs/>
          <w:sz w:val="24"/>
          <w:szCs w:val="24"/>
          <w:lang w:val="en-US"/>
        </w:rPr>
        <w:t xml:space="preserve">perm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permkrai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9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6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530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9"/>
        <w:gridCol w:w="3057"/>
        <w:gridCol w:w="690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31 марта  2025 г. № 21-01-03-2716 «О проведении аукциона на право заключения договора аренды земельного участка в Дзержинском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Опытная, з/у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59:01:4515021:132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rFonts w:eastAsia="TimesNewRomanPSMT"/>
                <w:sz w:val="24"/>
                <w:szCs w:val="24"/>
                <w:highlight w:val="none"/>
              </w:rPr>
              <w:t xml:space="preserve">ремонт автомобилей</w:t>
            </w:r>
            <w:r>
              <w:rPr>
                <w:rFonts w:eastAsia="TimesNewRomanPSMT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/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sz w:val="24"/>
                <w:szCs w:val="24"/>
              </w:rPr>
              <w:t xml:space="preserve">25.06.2025 </w:t>
              <w:br/>
              <w:t xml:space="preserve">№ КУВИ-001/2025-129152984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объектов не зафиксировано, произрастает лиственное дерево, Участок занесен снегом. Участок не заходи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на проезжую часть.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Дзержинского района администрации города Перми от 17.03.2025 № 059-07-01-03/3-653, </w:t>
            </w:r>
            <w:r>
              <w:rPr>
                <w:color w:val="000000"/>
                <w:sz w:val="24"/>
                <w:szCs w:val="24"/>
              </w:rPr>
              <w:t xml:space="preserve">акте  </w:t>
            </w:r>
            <w:r>
              <w:rPr>
                <w:color w:val="000000"/>
                <w:sz w:val="24"/>
                <w:szCs w:val="24"/>
              </w:rPr>
              <w:t xml:space="preserve">обследования от 10.03.2025).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копией планшета М 1:500 (требующей корректуры) в границах Участка расположена сеть электроснабжения.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покрытие Участка – щебень.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8 статьи 39.11 Кодекса земельный участок, нахо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сеть 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размещаться на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 ЕГРН Участок не имеет связи </w:t>
              <w:br/>
              <w:t xml:space="preserve">с объектами капитального строительства. 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змещение объекта капитального строительства необходимо предусматривать в соответствии с нормами СП 42.13330.2016. Свод правил. Градостроительство. Планировка и застройка городских и сельских поселений. Актуализированная редакция </w:t>
              <w:br/>
              <w:t xml:space="preserve">СНиП 2.07.01-89*, утвержде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приказом Минстроя России от 30.12.2016 № 1034/пр, в том числе строго </w:t>
              <w:br/>
              <w:t xml:space="preserve">за пределами охранных зон сетей в соответствии</w:t>
              <w:br/>
              <w:t xml:space="preserve">с таблицей 12.5 СП 42.13330.2016 «Градостроительство планировка и застройка городских и сельских поселений»; учитывать нормы постановле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ЕГРН, ГПЗУ</w:t>
              <w:br/>
              <w:t xml:space="preserve">и справке по градостроительным условиям участка </w:t>
              <w:br/>
              <w:t xml:space="preserve">от 25.06.2025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расположен: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границах зоны с особыми условиями использования территории Охранная зона транспорта «Зона с особыми условиями использования – Приаэродромная территория аэродрома аэропорта Большое Савино», 59:32-6.553 (Постановление Правительства Российской Федерации </w:t>
              <w:br/>
              <w:t xml:space="preserve">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1-03.2010 № 138 «Об утверждении Федеральных правил использования воздушного пространства Российской Федерации»);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границах зоны с особыми условиями использования территории «Зона затопления территорий, прилегающих </w:t>
              <w:br/>
              <w:t xml:space="preserve">к зарегулированной р. Кама (Воткинскому водохранилищу) </w:t>
              <w:br/>
              <w:t xml:space="preserve">в нижнем бьефе Камского гидроузла в г, Перми Пермского края, затапливаемых при пропуске Камским 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 паводков расчетной обеспеченности 1%», 59:00-6.2017 (Приказ Камского бассейнового водного управления Федерального агентства водных ресурсов от 21.11.2022 № 239 </w:t>
              <w:br/>
              <w:t xml:space="preserve">«Об установлении границ зон затопления </w:t>
              <w:br/>
              <w:t xml:space="preserve">на территориях, прилегающих к зарегулированной </w:t>
              <w:br/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1%»: ограничения использования объектов недвижимости в соответствии с частью 3 стат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ьи 67.1 Водного кодекса Российской Федерации);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астично в границах зоны с особыми условиями использования территории Охранная зона инженерных коммуникаций «ОХРАННАЯ ЗОНА ЛИТЕР Сз-ЛИНИЯ ЭЛЕКТРОПЕРЕДАЧИ б кВ». 59:01-6,1776. площадь земельного участка, покрываемая зоной с особыми условиями использования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рритории, составляет 22 кв. м.;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 в границах зоны с особыми условиями использования территории Строительство ВЛ 0,4 кВ </w:t>
              <w:br/>
              <w:t xml:space="preserve">от ТП-5161, установка оборудования учета э/э на опоре ВЛ 0,4 кВ для электроснабжения нежилой застройки </w:t>
              <w:br/>
              <w:t xml:space="preserve">по адресу: Пермский край, г. Пермь, уд. Красина, 37 (кад.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зем. участка 59:01:4510444:0009), 59:01-6.12069, площадь земельного участка, покрываемая зоной с особыми условиями использования территории, составляет 4 кв. м (Постановление Правительства Российской Федерации от 24.02.2009 № 160 </w:t>
              <w:br/>
              <w:t xml:space="preserve">«О порядке установления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охранных зон объектов электросетевого хозяйства и особых условий использования земельных участков, расположенных </w:t>
              <w:br/>
              <w:t xml:space="preserve">в границах таких зон»);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 в границах зоны с особыми условиями использования территории Санитарно-защитная зона предприятий, сооружений и иных объектов </w:t>
              <w:br/>
              <w:t xml:space="preserve">«ООО Лесозавод»;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стично в границах зоны с особыми условиями использования территории Санитарно-защитная зона предприятий, сооружений и иных объектов </w:t>
              <w:br/>
              <w:t xml:space="preserve">«ЗАО Центральный рынок», площадь земельного участка, покрываемая зоной с особыми условиями использования территории,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141 кв. м. (Постановление администрации города Перми </w:t>
              <w:br/>
              <w:t xml:space="preserve">от 22.11.2005 № 2735 «Об утверждении перечней </w:t>
              <w:br/>
              <w:t xml:space="preserve">и проектов границ общих и индивидуальных санитарно-защитных зон промышленных предприятий и объект </w:t>
              <w:br/>
              <w:t xml:space="preserve">в расположенных на территории города Перми»).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настоящем письме (прилагается).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3 тополя.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сстановительную стоимость сноса зеленых насаждений посчитать не представляется возможным, так как неизвестно пятно застройки и количество сносимых зеленых насаждений. Средняя стоимость в ценах 2025 г. одного дерева лиственной породы от 25 тыс. руб., а хво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йной – от 30 тыс. руб.</w:t>
            </w:r>
            <w:r/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26.02.2025 № 059-33-01-10-3-150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дорожной сети на рассматриваемой территории не запланированы. 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мероприятия, указанные </w:t>
              <w:br/>
              <w:t xml:space="preserve">в настоящем письме.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указывается на необходимость соблюдать Правила благоустройства территории города Перми, утвержденные решением Пермской городской Думы от 15.12.2020 № 277, при строительстве объектов недвижимости.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сообщается, что в соответствии</w:t>
              <w:br/>
              <w:t xml:space="preserve">с Федеральным законом от 08.11.2007 № 257-ФЗ </w:t>
              <w:br/>
              <w:t xml:space="preserve">«Об автомобильных дорогах и о дорожной деятельности </w:t>
              <w:br/>
              <w:t xml:space="preserve">в Российской Федерации и о внесении изменений </w:t>
              <w:br/>
              <w:t xml:space="preserve">в отдельные законодательные акты Российской Федерации» расходы на строи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ламентами требований, несут лица, </w:t>
              <w:br/>
              <w:t xml:space="preserve">в интересах которых осуществляются строительство, реконструкция, капитальный ремонт, ремонт пересечений или примыканий.</w:t>
            </w:r>
            <w:r/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26.02.2025 № 059-24-01-36/3-671 (прилагается)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противопожарного водоснабжения (пожарные гидранты на сети водоснабжения) расположены по адресу:ул. Красина напротив здания № 37 (напротив ул. Опытная). 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 спасательного гарнизона для тушения пожаров и проведения аварийно- спасательных работна территории Пермского городск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округа, Пермского муниципального района», утвержденном Главой города Перми 26.04.2024 (ближайшее подразделение пожарной охраны расположено по адресу: город Пермь,ул. Василия Каменского, 2 (ПСЧ-4 10-ПСО). 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планировке и размещении объектов </w:t>
              <w:br/>
              <w:t xml:space="preserve">на вышеуказанной территории,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</w:t>
              <w:br/>
              <w:t xml:space="preserve">№ 123-ФЗ «Технический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жарной безопасности.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для аварийно-спасательных формирований на указанной территории отсутствуют. </w:t>
              <w:br/>
              <w:t xml:space="preserve">В настоящее время потребность в обеспечении служебными помещениями для аварийно-спасательных формирований в указанном районе отсутствует. Объект общественной безопасности,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отнесенный к объектам полиции (участковые пункты полиции), в данном микрорайоне расположен по адресу: город Пермь,ул. Новоколхозная, 2 (микрорайон Заостровка, Дзержинский район). В настоящее время в указанном микрорайоне, строительство (приобретение)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тковых пунктов полиции не планируется.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попадает в зону действия региональной автоматизированной системы централизованного оповещения населения города Перми, установленной </w:t>
              <w:br/>
              <w:t xml:space="preserve">по адресу: ул. Сергея Есенина, 5/2 – 600 метров.</w:t>
            </w:r>
            <w:r/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общественной безопасности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26.02.2025 № 059-10-01-27/3-445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452"/>
              <w:jc w:val="both"/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Схемами водоснабжения и водоотведения города Перми, утвержденными постановлением администрации города Перми от 28.12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 № 1085, на период до 2028 года предусмотрено строительство сетей водоснабжения и водоотведения </w:t>
              <w:br/>
              <w:t xml:space="preserve">в мкр. Заостровка. </w:t>
            </w:r>
            <w:r/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04.03.2025№ 059-04-17/3-179-ри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</w:t>
              <w:br/>
              <w:t xml:space="preserve"> в Пермском крае от 16.03.2022 №74-гс </w:t>
              <w:br/>
              <w:t xml:space="preserve"> </w:t>
            </w:r>
            <w:r>
              <w:rPr>
                <w:color w:val="000000"/>
                <w:sz w:val="24"/>
              </w:rPr>
              <w:t xml:space="preserve"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  <w:r/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градостроительном плане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№ 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(далее – ГПЗУ)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аксимальный выступ за красную линию нависающих частей здания наземных уровней, выступающих из плоскости наружной стены фасада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на высоте не менее 4,5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территорией общего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составляет не более 1,2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красной линии. </w:t>
              <w:br/>
              <w:t xml:space="preserve">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</w:t>
              <w:br/>
              <w:t xml:space="preserve">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класс опасности (в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санитарно-эпидемиологическими правилами)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капитального строительства,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размещаемых на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змещения зданий, строений – </w:t>
              <w:br/>
              <w:t xml:space="preserve">0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количество этажей и (или) предельная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зданий, строений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если в границах территориальной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предусматривается осуществление деятельности </w:t>
              <w:br/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территории, расчет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минимально допустимого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объектами коммунальной,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транспортной, 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 и расчет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максимально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допустимого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доступности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объектов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населения осуществляются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утвержденными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нормативами градостроительного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</w:t>
              <w:br/>
              <w:t xml:space="preserve">СНиП 2.07.01-89* коэффициент плотности застро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йки земельного участка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промышленной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зоне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предельные параметры разрешенного строительства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частке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343,2 кв. м</w:t>
              <w:br/>
              <w:t xml:space="preserve">(143 кв. м х 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Минимальные параметры при строительстве мастерских, предназначенных для ремонта и обслуживания автомобилей,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прочих объектов дорожного сервиса не установлены.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необходимо соблюдать требования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разработке паспорта внешнего облика объекта капитального строительства (колерный паспорт).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- документ, разрабатываемый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</w:t>
            </w:r>
            <w:r>
              <w:rPr>
                <w:spacing w:val="-4"/>
                <w:sz w:val="24"/>
                <w:szCs w:val="24"/>
              </w:rPr>
              <w:t xml:space="preserve">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</w:t>
            </w:r>
            <w:r>
              <w:rPr>
                <w:sz w:val="24"/>
                <w:szCs w:val="24"/>
              </w:rPr>
              <w:t xml:space="preserve">в отношении материалов, способов отделки и цветов фасадов, ограждающих конструкций (крыш (кровельного покрытия), ограждений балконов, лоджий), мест </w:t>
            </w:r>
            <w:r>
              <w:rPr>
                <w:sz w:val="24"/>
                <w:szCs w:val="24"/>
              </w:rPr>
              <w:t xml:space="preserve">для размещения средств размещения информации (вывесок, указателей с наименованиями улиц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номерами домов (зданий)), рекламных конструкций,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а также мест для размещения, вида, цветового решения архитектурно-художественной подсветки.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подлежит согласованию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функциональным органом администрации города Перми, осуществляющим функции управления в сфере градостроительства.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8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планируемым объемом потребления газа 1 куб.м/час к существующим сетям газораспределения имеется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 xml:space="preserve">(Аналогичная информация отражена в  письме  </w:t>
              <w:br/>
            </w:r>
            <w:r>
              <w:rPr>
                <w:b/>
                <w:color w:val="000000"/>
                <w:sz w:val="24"/>
                <w:szCs w:val="24"/>
                <w14:ligatures w14:val="none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26.02.2025 </w:t>
              <w:br/>
              <w:t xml:space="preserve">№ ПФ-1206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  <w:highlight w:val="none"/>
              </w:rPr>
            </w:r>
            <w:r>
              <w:rPr>
                <w:color w:val="000000"/>
                <w:sz w:val="24"/>
                <w:highlight w:val="none"/>
              </w:rPr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подключения планируемого </w:t>
              <w:br/>
              <w:t xml:space="preserve">к строительству объекта на Участке с предполагаемыми объемами водопотребления и водоотведения – 1 м3/сут., расходом водына наружное пожароту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10 л/сек, сообщается, что в районе Участка отсутствуют централизованные сети водоотведения, эксплуатируемые </w:t>
              <w:br/>
              <w:t xml:space="preserve">ООО «Новогор-Прикамье».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 располагаются по ул. Красина, ориентировочно на расстоянии - 100 м от Участка.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Маяковского, ориентировочно на расстоянии - более 2 км от Участка.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токов </w:t>
              <w:br/>
              <w:t xml:space="preserve">на локальные очистные сооружения, канализование объекта </w:t>
              <w:br/>
              <w:t xml:space="preserve">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«НОВОГОР-Прикамье» не располагает сведениямио наличии сетей 3-х лиц в границах Участка.</w:t>
            </w:r>
            <w:r/>
          </w:p>
          <w:p>
            <w:pPr>
              <w:pStyle w:val="783"/>
              <w:ind w:left="0" w:right="0" w:firstLine="48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03.03.2024 № 110-2757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3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 сетям теплоснабжения с подключаемой тепловой нагрузкой </w:t>
              <w:br/>
              <w:t xml:space="preserve">0,01 Гкал/ч. отсутствует.</w:t>
            </w:r>
            <w:r>
              <w:rPr>
                <w:color w:val="000000"/>
                <w:sz w:val="24"/>
              </w:rPr>
            </w:r>
            <w:r/>
          </w:p>
          <w:p>
            <w:pPr>
              <w:pStyle w:val="783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Пермские тепловые сети Филиал ПАО «Т Плюс»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04.03.2025 </w:t>
              <w:br/>
              <w:t xml:space="preserve">№ 51030-01-01171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строительству объектов в границах Участка может быть произведено</w:t>
              <w:br/>
              <w:t xml:space="preserve">в точке подключения узел ВОЛС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</w:t>
              <w:br/>
              <w:t xml:space="preserve">ул. Маяковского, 33а), максимальную нагрузку в точке подключения (технологического присоединения) определить на стадии проектирования.</w:t>
            </w:r>
            <w:r/>
          </w:p>
          <w:p>
            <w:pPr>
              <w:pStyle w:val="68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получения ТУ на подключение к сетям связи </w:t>
              <w:br/>
              <w:t xml:space="preserve">ПАО «Ростелеком» необходимо направить письменный запрос по адресу: г. Пермь, ул. Крупской, д. 2, e-mail: perm-mail@ural.rt.ru.</w:t>
            </w:r>
            <w:r/>
          </w:p>
          <w:p>
            <w:pPr>
              <w:pStyle w:val="783"/>
              <w:ind w:left="0" w:right="0" w:firstLine="48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ПАО «Ростелеком»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03.03.2025 № 01/05/33152/25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</w:t>
            </w:r>
            <w:r>
              <w:rPr>
                <w:b w:val="0"/>
                <w:bCs w:val="0"/>
                <w:sz w:val="24"/>
                <w:szCs w:val="24"/>
              </w:rPr>
              <w:t xml:space="preserve">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</w:t>
              <w:br/>
              <w:t xml:space="preserve">(далее – ЗК РФ), </w:t>
            </w:r>
            <w:r>
              <w:rPr>
                <w:b w:val="0"/>
                <w:bCs w:val="0"/>
                <w:sz w:val="24"/>
                <w:szCs w:val="24"/>
              </w:rPr>
              <w:t xml:space="preserve">обязан до подписания договора уплатить ежегодный размер арендной платы, указанный в п. 4.2 договора (за вычетом задатка, внесенного для участия в аукционе) </w:t>
            </w:r>
            <w:r>
              <w:rPr>
                <w:b/>
                <w:bCs w:val="0"/>
                <w:color w:val="000000"/>
                <w:sz w:val="24"/>
                <w:szCs w:val="24"/>
              </w:rPr>
              <w:t xml:space="preserve">однократно за весь срок действия договора аренды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6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69"/>
                  <w:sz w:val="24"/>
                  <w:szCs w:val="24"/>
                </w:rPr>
                <w:t xml:space="preserve">.</w:t>
              </w:r>
              <w:r>
                <w:rPr>
                  <w:rStyle w:val="76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3"/>
              <w:jc w:val="both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</w:t>
              <w:br/>
              <w:t xml:space="preserve">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6 месяцев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bookmarkStart w:id="1" w:name="_GoBack"/>
      <w:r/>
      <w:bookmarkEnd w:id="1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01.07.2025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05.08.2025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06.08.2025.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07.08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6"/>
        <w:jc w:val="both"/>
        <w:widowControl w:val="off"/>
      </w:pPr>
      <w:r/>
      <w:r/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6"/>
        <w:ind w:left="-567" w:firstLine="709"/>
        <w:jc w:val="both"/>
        <w:widowControl w:val="off"/>
      </w:pPr>
      <w:r/>
      <w:r/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rStyle w:val="76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01.07.2025 по 05.08.2025.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01.07.2025 по 05.08.2025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0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8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17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7">
    <w:name w:val="Heading 1"/>
    <w:basedOn w:val="68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8">
    <w:name w:val="Heading 2"/>
    <w:basedOn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1 Char"/>
    <w:basedOn w:val="713"/>
    <w:uiPriority w:val="9"/>
    <w:qFormat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13"/>
    <w:uiPriority w:val="9"/>
    <w:qFormat/>
    <w:rPr>
      <w:rFonts w:ascii="Arial" w:hAnsi="Arial" w:eastAsia="Arial" w:cs="Arial"/>
      <w:sz w:val="34"/>
    </w:rPr>
  </w:style>
  <w:style w:type="character" w:styleId="698">
    <w:name w:val="Heading 3 Char"/>
    <w:basedOn w:val="713"/>
    <w:uiPriority w:val="9"/>
    <w:qFormat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3"/>
    <w:uiPriority w:val="10"/>
    <w:qFormat/>
    <w:rPr>
      <w:sz w:val="48"/>
      <w:szCs w:val="48"/>
    </w:rPr>
  </w:style>
  <w:style w:type="character" w:styleId="706">
    <w:name w:val="Subtitle Char"/>
    <w:basedOn w:val="713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eader Char"/>
    <w:basedOn w:val="713"/>
    <w:uiPriority w:val="99"/>
    <w:qFormat/>
  </w:style>
  <w:style w:type="character" w:styleId="710">
    <w:name w:val="Caption Char"/>
    <w:uiPriority w:val="99"/>
    <w:qFormat/>
  </w:style>
  <w:style w:type="character" w:styleId="711">
    <w:name w:val="Footnote Text Char"/>
    <w:uiPriority w:val="99"/>
    <w:qFormat/>
    <w:rPr>
      <w:sz w:val="18"/>
    </w:rPr>
  </w:style>
  <w:style w:type="character" w:styleId="712">
    <w:name w:val="Endnote Text Char"/>
    <w:uiPriority w:val="99"/>
    <w:qFormat/>
    <w:rPr>
      <w:sz w:val="20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Заголовок Знак1"/>
    <w:uiPriority w:val="10"/>
    <w:qFormat/>
    <w:rPr>
      <w:sz w:val="48"/>
      <w:szCs w:val="48"/>
    </w:rPr>
  </w:style>
  <w:style w:type="character" w:styleId="724" w:customStyle="1">
    <w:name w:val="Подзаголовок Знак"/>
    <w:uiPriority w:val="11"/>
    <w:qFormat/>
    <w:rPr>
      <w:sz w:val="24"/>
      <w:szCs w:val="24"/>
    </w:rPr>
  </w:style>
  <w:style w:type="character" w:styleId="725" w:customStyle="1">
    <w:name w:val="Цитата 2 Знак"/>
    <w:uiPriority w:val="29"/>
    <w:qFormat/>
    <w:rPr>
      <w:i/>
    </w:rPr>
  </w:style>
  <w:style w:type="character" w:styleId="726" w:customStyle="1">
    <w:name w:val="Выделенная цитата Знак"/>
    <w:uiPriority w:val="30"/>
    <w:qFormat/>
    <w:rPr>
      <w:i/>
    </w:rPr>
  </w:style>
  <w:style w:type="character" w:styleId="727" w:customStyle="1">
    <w:name w:val="Верхний колонтитул Знак1"/>
    <w:uiPriority w:val="99"/>
    <w:qFormat/>
  </w:style>
  <w:style w:type="character" w:styleId="728" w:customStyle="1">
    <w:name w:val="Footer Char"/>
    <w:uiPriority w:val="99"/>
    <w:qFormat/>
  </w:style>
  <w:style w:type="character" w:styleId="729" w:customStyle="1">
    <w:name w:val="Нижний колонтитул Знак1"/>
    <w:uiPriority w:val="99"/>
    <w:qFormat/>
  </w:style>
  <w:style w:type="character" w:styleId="730" w:customStyle="1">
    <w:name w:val="Текст сноски Знак"/>
    <w:uiPriority w:val="99"/>
    <w:qFormat/>
    <w:rPr>
      <w:sz w:val="18"/>
    </w:rPr>
  </w:style>
  <w:style w:type="character" w:styleId="731">
    <w:name w:val="Символ сноски"/>
    <w:uiPriority w:val="99"/>
    <w:unhideWhenUsed/>
    <w:qFormat/>
    <w:rPr>
      <w:vertAlign w:val="superscript"/>
    </w:rPr>
  </w:style>
  <w:style w:type="character" w:styleId="732">
    <w:name w:val="footnote reference"/>
    <w:rPr>
      <w:vertAlign w:val="superscript"/>
    </w:rPr>
  </w:style>
  <w:style w:type="character" w:styleId="733" w:customStyle="1">
    <w:name w:val="Текст концевой сноски Знак"/>
    <w:uiPriority w:val="99"/>
    <w:qFormat/>
    <w:rPr>
      <w:sz w:val="20"/>
    </w:rPr>
  </w:style>
  <w:style w:type="character" w:styleId="7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5">
    <w:name w:val="endnote reference"/>
    <w:rPr>
      <w:vertAlign w:val="superscript"/>
    </w:rPr>
  </w:style>
  <w:style w:type="character" w:styleId="736" w:customStyle="1">
    <w:name w:val="WW8Num2z0"/>
    <w:qFormat/>
    <w:rPr>
      <w:rFonts w:ascii="Symbol" w:hAnsi="Symbol" w:cs="Symbol"/>
    </w:rPr>
  </w:style>
  <w:style w:type="character" w:styleId="737" w:customStyle="1">
    <w:name w:val="WW8Num3z0"/>
    <w:qFormat/>
  </w:style>
  <w:style w:type="character" w:styleId="738" w:customStyle="1">
    <w:name w:val="WW8Num4z0"/>
    <w:qFormat/>
  </w:style>
  <w:style w:type="character" w:styleId="739" w:customStyle="1">
    <w:name w:val="WW8Num5z0"/>
    <w:qFormat/>
    <w:rPr>
      <w:sz w:val="16"/>
      <w:szCs w:val="16"/>
    </w:rPr>
  </w:style>
  <w:style w:type="character" w:styleId="740" w:customStyle="1">
    <w:name w:val="WW8Num6z0"/>
    <w:qFormat/>
  </w:style>
  <w:style w:type="character" w:styleId="741" w:customStyle="1">
    <w:name w:val="WW8Num7z0"/>
    <w:qFormat/>
  </w:style>
  <w:style w:type="character" w:styleId="742" w:customStyle="1">
    <w:name w:val="WW8Num8z0"/>
    <w:qFormat/>
  </w:style>
  <w:style w:type="character" w:styleId="743" w:customStyle="1">
    <w:name w:val="WW8Num9z0"/>
    <w:qFormat/>
  </w:style>
  <w:style w:type="character" w:styleId="744" w:customStyle="1">
    <w:name w:val="WW8Num10z0"/>
    <w:qFormat/>
  </w:style>
  <w:style w:type="character" w:styleId="745" w:customStyle="1">
    <w:name w:val="WW8Num11z0"/>
    <w:qFormat/>
  </w:style>
  <w:style w:type="character" w:styleId="746" w:customStyle="1">
    <w:name w:val="WW8Num12z0"/>
    <w:qFormat/>
  </w:style>
  <w:style w:type="character" w:styleId="747" w:customStyle="1">
    <w:name w:val="WW8Num13z0"/>
    <w:qFormat/>
  </w:style>
  <w:style w:type="character" w:styleId="748" w:customStyle="1">
    <w:name w:val="WW8Num14z0"/>
    <w:qFormat/>
  </w:style>
  <w:style w:type="character" w:styleId="749" w:customStyle="1">
    <w:name w:val="WW8Num15z0"/>
    <w:qFormat/>
  </w:style>
  <w:style w:type="character" w:styleId="750" w:customStyle="1">
    <w:name w:val="WW8Num18z0"/>
    <w:qFormat/>
  </w:style>
  <w:style w:type="character" w:styleId="751" w:customStyle="1">
    <w:name w:val="WW8Num19z0"/>
    <w:qFormat/>
  </w:style>
  <w:style w:type="character" w:styleId="752" w:customStyle="1">
    <w:name w:val="WW8Num20z0"/>
    <w:qFormat/>
  </w:style>
  <w:style w:type="character" w:styleId="753" w:customStyle="1">
    <w:name w:val="WW8Num21z0"/>
    <w:qFormat/>
  </w:style>
  <w:style w:type="character" w:styleId="754" w:customStyle="1">
    <w:name w:val="WW8Num22z0"/>
    <w:qFormat/>
  </w:style>
  <w:style w:type="character" w:styleId="755" w:customStyle="1">
    <w:name w:val="WW8Num23z0"/>
    <w:qFormat/>
  </w:style>
  <w:style w:type="character" w:styleId="756" w:customStyle="1">
    <w:name w:val="WW8Num25z0"/>
    <w:qFormat/>
  </w:style>
  <w:style w:type="character" w:styleId="757" w:customStyle="1">
    <w:name w:val="WW8Num26z0"/>
    <w:qFormat/>
  </w:style>
  <w:style w:type="character" w:styleId="758" w:customStyle="1">
    <w:name w:val="WW8Num27z0"/>
    <w:qFormat/>
  </w:style>
  <w:style w:type="character" w:styleId="759" w:customStyle="1">
    <w:name w:val="WW8Num29z0"/>
    <w:qFormat/>
    <w:rPr>
      <w:rFonts w:ascii="Symbol" w:hAnsi="Symbol" w:cs="Symbol"/>
    </w:rPr>
  </w:style>
  <w:style w:type="character" w:styleId="760" w:customStyle="1">
    <w:name w:val="WW8Num30z0"/>
    <w:qFormat/>
  </w:style>
  <w:style w:type="character" w:styleId="761" w:customStyle="1">
    <w:name w:val="WW8Num31z0"/>
    <w:qFormat/>
  </w:style>
  <w:style w:type="character" w:styleId="762" w:customStyle="1">
    <w:name w:val="WW8Num32z0"/>
    <w:qFormat/>
  </w:style>
  <w:style w:type="character" w:styleId="763" w:customStyle="1">
    <w:name w:val="WW8Num33z0"/>
    <w:qFormat/>
  </w:style>
  <w:style w:type="character" w:styleId="764" w:customStyle="1">
    <w:name w:val="WW8Num34z0"/>
    <w:qFormat/>
  </w:style>
  <w:style w:type="character" w:styleId="765">
    <w:name w:val="page number"/>
    <w:basedOn w:val="713"/>
    <w:qFormat/>
  </w:style>
  <w:style w:type="character" w:styleId="766" w:customStyle="1">
    <w:name w:val="Текст Знак"/>
    <w:qFormat/>
    <w:rPr>
      <w:rFonts w:ascii="Courier New" w:hAnsi="Courier New" w:cs="Courier New"/>
    </w:rPr>
  </w:style>
  <w:style w:type="character" w:styleId="767" w:customStyle="1">
    <w:name w:val="Верхний колонтитул Знак"/>
    <w:qFormat/>
    <w:rPr>
      <w:sz w:val="16"/>
      <w:lang w:val="ru-RU" w:bidi="ar-SA"/>
    </w:rPr>
  </w:style>
  <w:style w:type="character" w:styleId="768" w:customStyle="1">
    <w:name w:val="Основной текст с отступом 3 Знак"/>
    <w:qFormat/>
    <w:rPr>
      <w:sz w:val="16"/>
      <w:szCs w:val="16"/>
    </w:rPr>
  </w:style>
  <w:style w:type="character" w:styleId="769">
    <w:name w:val="Hyperlink"/>
    <w:rPr>
      <w:color w:val="0563c1"/>
      <w:u w:val="single"/>
    </w:rPr>
  </w:style>
  <w:style w:type="character" w:styleId="770" w:customStyle="1">
    <w:name w:val="Абзац списка Знак"/>
    <w:qFormat/>
    <w:rPr>
      <w:sz w:val="24"/>
      <w:szCs w:val="24"/>
    </w:rPr>
  </w:style>
  <w:style w:type="character" w:styleId="771" w:customStyle="1">
    <w:name w:val="Заголовок 6 Знак"/>
    <w:qFormat/>
    <w:rPr>
      <w:b/>
      <w:bCs/>
      <w:sz w:val="22"/>
      <w:szCs w:val="22"/>
    </w:rPr>
  </w:style>
  <w:style w:type="character" w:styleId="772" w:customStyle="1">
    <w:name w:val="Название Знак"/>
    <w:qFormat/>
    <w:rPr>
      <w:sz w:val="28"/>
      <w:lang w:val="ru-RU" w:bidi="ar-SA"/>
    </w:rPr>
  </w:style>
  <w:style w:type="character" w:styleId="77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4" w:customStyle="1">
    <w:name w:val="Нижний колонтитул Знак"/>
    <w:qFormat/>
  </w:style>
  <w:style w:type="character" w:styleId="775">
    <w:name w:val="FollowedHyperlink"/>
    <w:rPr>
      <w:color w:val="954f72"/>
      <w:u w:val="single"/>
    </w:rPr>
  </w:style>
  <w:style w:type="character" w:styleId="776" w:customStyle="1">
    <w:name w:val="Гиперссылка"/>
    <w:qFormat/>
    <w:rPr>
      <w:color w:val="0000ff"/>
      <w:u w:val="single"/>
    </w:rPr>
  </w:style>
  <w:style w:type="character" w:styleId="777">
    <w:name w:val="Символ нумерации"/>
    <w:qFormat/>
  </w:style>
  <w:style w:type="character" w:styleId="778">
    <w:name w:val="Основной текст Знак"/>
    <w:qFormat/>
    <w:rPr>
      <w:rFonts w:ascii="Courier New" w:hAnsi="Courier New" w:cs="Courier New"/>
      <w:sz w:val="26"/>
    </w:rPr>
  </w:style>
  <w:style w:type="character" w:styleId="77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80">
    <w:name w:val="Основной шрифт абзаца"/>
    <w:qFormat/>
  </w:style>
  <w:style w:type="character" w:styleId="781">
    <w:name w:val="WW8Num1z0"/>
    <w:qFormat/>
  </w:style>
  <w:style w:type="paragraph" w:styleId="782">
    <w:name w:val="Заголовок"/>
    <w:basedOn w:val="686"/>
    <w:next w:val="78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3">
    <w:name w:val="Body Text"/>
    <w:basedOn w:val="686"/>
    <w:pPr>
      <w:jc w:val="right"/>
    </w:pPr>
    <w:rPr>
      <w:sz w:val="28"/>
    </w:rPr>
  </w:style>
  <w:style w:type="paragraph" w:styleId="784">
    <w:name w:val="List"/>
    <w:basedOn w:val="783"/>
    <w:rPr>
      <w:rFonts w:cs="Lohit Devanagari"/>
    </w:rPr>
  </w:style>
  <w:style w:type="paragraph" w:styleId="785">
    <w:name w:val="Caption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786">
    <w:name w:val="Указатель"/>
    <w:basedOn w:val="686"/>
    <w:qFormat/>
    <w:pPr>
      <w:suppressLineNumbers/>
    </w:pPr>
    <w:rPr>
      <w:rFonts w:cs="Lohit Devanagari"/>
    </w:rPr>
  </w:style>
  <w:style w:type="paragraph" w:styleId="787">
    <w:name w:val="List Paragraph"/>
    <w:basedOn w:val="686"/>
    <w:qFormat/>
    <w:pPr>
      <w:ind w:left="708"/>
    </w:pPr>
  </w:style>
  <w:style w:type="paragraph" w:styleId="78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9">
    <w:name w:val="Title"/>
    <w:basedOn w:val="68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0">
    <w:name w:val="Subtitle"/>
    <w:basedOn w:val="686"/>
    <w:uiPriority w:val="11"/>
    <w:qFormat/>
    <w:pPr>
      <w:spacing w:before="200" w:after="200"/>
    </w:pPr>
  </w:style>
  <w:style w:type="paragraph" w:styleId="791">
    <w:name w:val="Quote"/>
    <w:basedOn w:val="686"/>
    <w:uiPriority w:val="29"/>
    <w:qFormat/>
    <w:pPr>
      <w:ind w:left="720" w:right="720"/>
    </w:pPr>
    <w:rPr>
      <w:i/>
    </w:rPr>
  </w:style>
  <w:style w:type="paragraph" w:styleId="792">
    <w:name w:val="Intense Quote"/>
    <w:basedOn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3">
    <w:name w:val="footnote text"/>
    <w:basedOn w:val="686"/>
    <w:uiPriority w:val="99"/>
    <w:semiHidden/>
    <w:unhideWhenUsed/>
    <w:pPr>
      <w:spacing w:before="0" w:after="40"/>
    </w:pPr>
    <w:rPr>
      <w:sz w:val="18"/>
    </w:rPr>
  </w:style>
  <w:style w:type="paragraph" w:styleId="794">
    <w:name w:val="endnote text"/>
    <w:basedOn w:val="686"/>
    <w:uiPriority w:val="99"/>
    <w:semiHidden/>
    <w:unhideWhenUsed/>
    <w:rPr>
      <w:sz w:val="20"/>
    </w:rPr>
  </w:style>
  <w:style w:type="paragraph" w:styleId="795">
    <w:name w:val="toc 1"/>
    <w:basedOn w:val="686"/>
    <w:uiPriority w:val="39"/>
    <w:unhideWhenUsed/>
    <w:pPr>
      <w:spacing w:before="0" w:after="57"/>
    </w:pPr>
  </w:style>
  <w:style w:type="paragraph" w:styleId="796">
    <w:name w:val="toc 2"/>
    <w:basedOn w:val="686"/>
    <w:uiPriority w:val="39"/>
    <w:unhideWhenUsed/>
    <w:pPr>
      <w:ind w:left="283"/>
      <w:spacing w:before="0" w:after="57"/>
    </w:pPr>
  </w:style>
  <w:style w:type="paragraph" w:styleId="797">
    <w:name w:val="toc 3"/>
    <w:basedOn w:val="686"/>
    <w:uiPriority w:val="39"/>
    <w:unhideWhenUsed/>
    <w:pPr>
      <w:ind w:left="567"/>
      <w:spacing w:before="0" w:after="57"/>
    </w:pPr>
  </w:style>
  <w:style w:type="paragraph" w:styleId="798">
    <w:name w:val="toc 4"/>
    <w:basedOn w:val="686"/>
    <w:uiPriority w:val="39"/>
    <w:unhideWhenUsed/>
    <w:pPr>
      <w:ind w:left="850"/>
      <w:spacing w:before="0" w:after="57"/>
    </w:pPr>
  </w:style>
  <w:style w:type="paragraph" w:styleId="799">
    <w:name w:val="toc 5"/>
    <w:basedOn w:val="686"/>
    <w:uiPriority w:val="39"/>
    <w:unhideWhenUsed/>
    <w:pPr>
      <w:ind w:left="1134"/>
      <w:spacing w:before="0" w:after="57"/>
    </w:pPr>
  </w:style>
  <w:style w:type="paragraph" w:styleId="800">
    <w:name w:val="toc 6"/>
    <w:basedOn w:val="686"/>
    <w:uiPriority w:val="39"/>
    <w:unhideWhenUsed/>
    <w:pPr>
      <w:ind w:left="1417"/>
      <w:spacing w:before="0" w:after="57"/>
    </w:pPr>
  </w:style>
  <w:style w:type="paragraph" w:styleId="801">
    <w:name w:val="toc 7"/>
    <w:basedOn w:val="686"/>
    <w:uiPriority w:val="39"/>
    <w:unhideWhenUsed/>
    <w:pPr>
      <w:ind w:left="1701"/>
      <w:spacing w:before="0" w:after="57"/>
    </w:pPr>
  </w:style>
  <w:style w:type="paragraph" w:styleId="802">
    <w:name w:val="toc 8"/>
    <w:basedOn w:val="686"/>
    <w:uiPriority w:val="39"/>
    <w:unhideWhenUsed/>
    <w:pPr>
      <w:ind w:left="1984"/>
      <w:spacing w:before="0" w:after="57"/>
    </w:pPr>
  </w:style>
  <w:style w:type="paragraph" w:styleId="803">
    <w:name w:val="toc 9"/>
    <w:basedOn w:val="686"/>
    <w:uiPriority w:val="39"/>
    <w:unhideWhenUsed/>
    <w:pPr>
      <w:ind w:left="2268"/>
      <w:spacing w:before="0" w:after="57"/>
    </w:pPr>
  </w:style>
  <w:style w:type="paragraph" w:styleId="804">
    <w:name w:val="Index Heading"/>
    <w:basedOn w:val="782"/>
  </w:style>
  <w:style w:type="paragraph" w:styleId="80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686"/>
    <w:uiPriority w:val="99"/>
    <w:unhideWhenUsed/>
  </w:style>
  <w:style w:type="paragraph" w:styleId="807">
    <w:name w:val="index heading1"/>
    <w:basedOn w:val="686"/>
    <w:qFormat/>
    <w:pPr>
      <w:suppressLineNumbers/>
    </w:pPr>
    <w:rPr>
      <w:rFonts w:cs="Lohit Devanagari"/>
    </w:rPr>
  </w:style>
  <w:style w:type="paragraph" w:styleId="808" w:customStyle="1">
    <w:name w:val="Caption1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809">
    <w:name w:val="Plain Text"/>
    <w:basedOn w:val="686"/>
    <w:qFormat/>
    <w:rPr>
      <w:rFonts w:ascii="Courier New" w:hAnsi="Courier New" w:cs="Courier New"/>
      <w:sz w:val="20"/>
      <w:szCs w:val="20"/>
      <w:lang w:val="en-US"/>
    </w:rPr>
  </w:style>
  <w:style w:type="paragraph" w:styleId="810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1">
    <w:name w:val="Body Text 2"/>
    <w:basedOn w:val="686"/>
    <w:qFormat/>
    <w:pPr>
      <w:spacing w:before="0" w:after="120" w:line="480" w:lineRule="auto"/>
    </w:pPr>
  </w:style>
  <w:style w:type="paragraph" w:styleId="812">
    <w:name w:val="Body Text 3"/>
    <w:basedOn w:val="686"/>
    <w:qFormat/>
    <w:pPr>
      <w:spacing w:before="0" w:after="120"/>
    </w:pPr>
    <w:rPr>
      <w:sz w:val="16"/>
      <w:szCs w:val="16"/>
    </w:rPr>
  </w:style>
  <w:style w:type="paragraph" w:styleId="813" w:customStyle="1">
    <w:name w:val="Колонтитул"/>
    <w:basedOn w:val="68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4">
    <w:name w:val="Footer"/>
    <w:basedOn w:val="68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5">
    <w:name w:val="Balloon Text"/>
    <w:basedOn w:val="686"/>
    <w:qFormat/>
    <w:rPr>
      <w:rFonts w:ascii="Tahoma" w:hAnsi="Tahoma" w:cs="Tahoma"/>
      <w:sz w:val="16"/>
      <w:szCs w:val="16"/>
    </w:rPr>
  </w:style>
  <w:style w:type="paragraph" w:styleId="816" w:customStyle="1">
    <w:name w:val="Знак Знак Знак Знак Знак Знак Знак Знак Знак Знак Знак Знак"/>
    <w:basedOn w:val="686"/>
    <w:qFormat/>
    <w:rPr>
      <w:rFonts w:ascii="Verdana" w:hAnsi="Verdana" w:cs="Verdana"/>
      <w:sz w:val="20"/>
      <w:szCs w:val="20"/>
      <w:lang w:val="en-US"/>
    </w:rPr>
  </w:style>
  <w:style w:type="paragraph" w:styleId="81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8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9">
    <w:name w:val="Body Text Indent 3"/>
    <w:basedOn w:val="68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0">
    <w:name w:val="Normal (Web)"/>
    <w:basedOn w:val="686"/>
    <w:qFormat/>
    <w:pPr>
      <w:spacing w:before="280" w:after="280"/>
    </w:pPr>
  </w:style>
  <w:style w:type="paragraph" w:styleId="821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2" w:customStyle="1">
    <w:name w:val="Содержимое таблицы"/>
    <w:basedOn w:val="686"/>
    <w:qFormat/>
    <w:pPr>
      <w:widowControl w:val="off"/>
      <w:suppressLineNumbers/>
    </w:pPr>
  </w:style>
  <w:style w:type="paragraph" w:styleId="823" w:customStyle="1">
    <w:name w:val="Заголовок таблицы"/>
    <w:basedOn w:val="822"/>
    <w:qFormat/>
    <w:pPr>
      <w:jc w:val="center"/>
    </w:pPr>
    <w:rPr>
      <w:b/>
      <w:bCs/>
    </w:rPr>
  </w:style>
  <w:style w:type="paragraph" w:styleId="824">
    <w:name w:val="Основной текст с отступом 3"/>
    <w:basedOn w:val="686"/>
    <w:qFormat/>
    <w:pPr>
      <w:ind w:left="283"/>
      <w:jc w:val="left"/>
      <w:spacing w:before="0" w:after="120"/>
      <w:widowControl/>
    </w:pPr>
    <w:rPr>
      <w:color w:val="auto"/>
      <w:sz w:val="16"/>
      <w:szCs w:val="16"/>
      <w:lang w:val="ru-RU" w:eastAsia="zh-CN" w:bidi="ar-SA"/>
    </w:rPr>
  </w:style>
  <w:style w:type="paragraph" w:styleId="825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26">
    <w:name w:val="Текст выноски"/>
    <w:basedOn w:val="686"/>
    <w:qFormat/>
    <w:pPr>
      <w:jc w:val="left"/>
      <w:spacing w:before="0" w:after="0"/>
      <w:widowControl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827">
    <w:name w:val="Название объекта"/>
    <w:basedOn w:val="686"/>
    <w:qFormat/>
    <w:pPr>
      <w:jc w:val="center"/>
      <w:spacing w:before="0" w:after="0" w:line="360" w:lineRule="exact"/>
      <w:widowControl w:val="off"/>
    </w:pPr>
    <w:rPr>
      <w:b/>
      <w:color w:val="auto"/>
      <w:sz w:val="32"/>
      <w:lang w:val="ru-RU" w:eastAsia="zh-CN" w:bidi="ar-SA"/>
    </w:rPr>
  </w:style>
  <w:style w:type="paragraph" w:styleId="828">
    <w:name w:val="Caption11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29">
    <w:name w:val="Caption1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830">
    <w:name w:val="Caption11"/>
    <w:basedOn w:val="686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831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233</cp:revision>
  <dcterms:modified xsi:type="dcterms:W3CDTF">2025-06-30T10:32:45Z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