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5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05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6"/>
        <w:numPr>
          <w:ilvl w:val="0"/>
          <w:numId w:val="0"/>
        </w:numPr>
        <w:ind w:left="0" w:firstLine="5670"/>
        <w:jc w:val="both"/>
        <w:spacing w:line="240" w:lineRule="exact"/>
        <w:tabs>
          <w:tab w:val="clear" w:pos="708" w:leader="none"/>
          <w:tab w:val="left" w:pos="4732" w:leader="none"/>
          <w:tab w:val="left" w:pos="5812" w:leader="none"/>
        </w:tabs>
        <w:rPr>
          <w:sz w:val="28"/>
          <w:szCs w:val="28"/>
        </w:rPr>
        <w:outlineLvl w:val="5"/>
      </w:pPr>
      <w:r>
        <w:rPr>
          <w:bCs/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left="5664" w:firstLine="6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приказу начальника департамента имущественных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01.07.2025 № 059-19-01-11-76</w:t>
      </w:r>
      <w:r>
        <w:rPr>
          <w:sz w:val="28"/>
          <w:szCs w:val="28"/>
        </w:rPr>
      </w:r>
    </w:p>
    <w:p>
      <w:pPr>
        <w:pStyle w:val="686"/>
        <w:ind w:left="283"/>
        <w:jc w:val="center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5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Извещение о проведении 31.07.2025 электронных аукционов по продаже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805"/>
        <w:ind w:left="1134" w:hanging="1134"/>
        <w:jc w:val="center"/>
        <w:spacing w:line="240" w:lineRule="exact"/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земельных участков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r>
    </w:p>
    <w:p>
      <w:pPr>
        <w:pStyle w:val="805"/>
        <w:ind w:left="1134" w:hanging="1134"/>
        <w:jc w:val="center"/>
        <w:spacing w:line="24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</w:p>
    <w:p>
      <w:pPr>
        <w:pStyle w:val="686"/>
        <w:ind w:left="-567" w:firstLine="567"/>
        <w:jc w:val="both"/>
        <w:widowControl w:val="off"/>
        <w:rPr>
          <w:b/>
          <w:bCs/>
        </w:rPr>
      </w:pPr>
      <w:r>
        <w:rPr>
          <w:shd w:val="clear" w:color="auto" w:fill="ffffff"/>
        </w:rPr>
        <w:t xml:space="preserve">Электронные аукционы по продаже земельных участков (далее – аукцион) проводятся                      в соответствии со статьями 39.11,</w:t>
      </w:r>
      <w:r>
        <w:rPr>
          <w:shd w:val="clear" w:color="auto" w:fill="ffffff"/>
        </w:rPr>
        <w:t xml:space="preserve">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</w:t>
      </w:r>
      <w:r>
        <w:rPr>
          <w:shd w:val="clear" w:color="auto" w:fill="ffffff"/>
        </w:rPr>
        <w:t xml:space="preserve">и</w:t>
      </w:r>
      <w:r>
        <w:rPr>
          <w:shd w:val="clear" w:color="auto" w:fill="ffffff"/>
        </w:rPr>
        <w:t xml:space="preserve"> от 20 ноября 2008 г. № 1089 «О комиссии по проведению аукционов по продаже земельных участков, находящихся в муниципальной собственности города Перми, </w:t>
        <w:br/>
        <w:t xml:space="preserve">и участков, собственность на которые не разграничена, объектов незавершенного строительства, расположен</w:t>
      </w:r>
      <w:r>
        <w:rPr>
          <w:shd w:val="clear" w:color="auto" w:fill="ffffff"/>
        </w:rPr>
        <w:t xml:space="preserve">н</w:t>
      </w:r>
      <w:r>
        <w:rPr>
          <w:shd w:val="clear" w:color="auto" w:fill="ffffff"/>
        </w:rPr>
        <w:t xml:space="preserve">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</w:t>
        <w:br/>
      </w:r>
      <w:r>
        <w:rPr>
          <w:rFonts w:eastAsia="Droid Sans Fallback" w:cs="Lohit Devanagari"/>
          <w:color w:val="000000"/>
          <w:sz w:val="24"/>
          <w:szCs w:val="24"/>
          <w:shd w:val="clear" w:color="auto" w:fill="ffffff"/>
          <w:lang w:val="ru-RU" w:eastAsia="zh-CN" w:bidi="ar-SA"/>
        </w:rPr>
        <w:t xml:space="preserve"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</w:t>
        <w:br/>
        <w:t xml:space="preserve">АО «Сбербанк-АСТ».</w:t>
      </w:r>
      <w:r>
        <w:rPr>
          <w:b/>
          <w:bCs/>
        </w:rPr>
      </w:r>
      <w:r>
        <w:rPr>
          <w:b/>
          <w:bCs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769"/>
          <w:bCs/>
          <w:sz w:val="24"/>
          <w:szCs w:val="24"/>
          <w:lang w:val="en-US"/>
        </w:rPr>
        <w:t xml:space="preserve">dzo@perm.permkrai.ru.</w:t>
      </w:r>
      <w:r>
        <w:rPr>
          <w:b/>
          <w:bCs/>
        </w:rPr>
      </w:r>
      <w:r>
        <w:rPr>
          <w:b/>
          <w:bCs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  <w:sz w:val="24"/>
          <w:szCs w:val="24"/>
        </w:rPr>
        <w:outlineLvl w:val="0"/>
      </w:pPr>
      <w:r>
        <w:rPr>
          <w:b/>
          <w:bCs/>
        </w:rPr>
        <w:t xml:space="preserve">Организатор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 xml:space="preserve">депар</w:t>
      </w:r>
      <w:r>
        <w:rPr>
          <w:bCs/>
        </w:rPr>
        <w:t xml:space="preserve">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 xml:space="preserve">dio</w:t>
      </w:r>
      <w:r>
        <w:rPr>
          <w:sz w:val="24"/>
          <w:szCs w:val="24"/>
        </w:rPr>
        <w:t xml:space="preserve">@</w:t>
      </w:r>
      <w:r>
        <w:rPr>
          <w:sz w:val="24"/>
          <w:szCs w:val="24"/>
          <w:lang w:val="en-US"/>
        </w:rPr>
        <w:t xml:space="preserve">perm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permkrai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ru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sz w:val="24"/>
          <w:szCs w:val="24"/>
        </w:rPr>
        <w:outlineLvl w:val="0"/>
      </w:pPr>
      <w:r>
        <w:rPr>
          <w:b/>
          <w:bCs/>
        </w:rPr>
        <w:t xml:space="preserve">Реквизиты приказа об организации проведения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01.07.2025 № 059-19-01-11-76.</w:t>
      </w:r>
      <w:r>
        <w:rPr>
          <w:sz w:val="24"/>
          <w:szCs w:val="24"/>
        </w:rPr>
      </w:r>
    </w:p>
    <w:p>
      <w:pPr>
        <w:pStyle w:val="815"/>
        <w:numPr>
          <w:ilvl w:val="0"/>
          <w:numId w:val="0"/>
        </w:numPr>
        <w:ind w:left="-567" w:firstLine="567"/>
        <w:jc w:val="both"/>
        <w:spacing w:before="0" w:after="0"/>
        <w:rPr>
          <w:rFonts w:eastAsia="Courier New"/>
          <w:b/>
          <w:color w:val="000000"/>
          <w:lang w:val="ru-RU" w:bidi="ru-RU"/>
        </w:rPr>
        <w:outlineLvl w:val="0"/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11" w:tooltip="http://www.torgi.gov.ru/" w:history="1">
        <w:r>
          <w:rPr>
            <w:rStyle w:val="769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6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9"/>
            <w:color w:val="000000"/>
            <w:sz w:val="24"/>
            <w:szCs w:val="24"/>
            <w:u w:val="none"/>
          </w:rPr>
          <w:t xml:space="preserve">torgi</w:t>
        </w:r>
        <w:r>
          <w:rPr>
            <w:rStyle w:val="76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9"/>
            <w:color w:val="000000"/>
            <w:sz w:val="24"/>
            <w:szCs w:val="24"/>
            <w:u w:val="none"/>
          </w:rPr>
          <w:t xml:space="preserve">gov</w:t>
        </w:r>
        <w:r>
          <w:rPr>
            <w:rStyle w:val="76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9"/>
            <w:color w:val="000000"/>
            <w:sz w:val="24"/>
            <w:szCs w:val="24"/>
            <w:u w:val="none"/>
          </w:rPr>
          <w:t xml:space="preserve">ru</w:t>
        </w:r>
      </w:hyperlink>
      <w:r>
        <w:rPr>
          <w:color w:val="000000"/>
          <w:sz w:val="24"/>
          <w:szCs w:val="24"/>
          <w:u w:val="none"/>
        </w:rPr>
        <w:t xml:space="preserve"> </w:t>
        <w:br/>
        <w:t xml:space="preserve">(далее – ГИС Торги)</w:t>
      </w:r>
      <w:r>
        <w:rPr>
          <w:b/>
          <w:sz w:val="24"/>
          <w:szCs w:val="24"/>
          <w:lang w:val="ru-RU"/>
        </w:rPr>
        <w:t xml:space="preserve"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</w:t>
        <w:br/>
        <w:t xml:space="preserve">в информационно-телекоммуникационной сети «Интернет» </w:t>
      </w:r>
      <w:hyperlink r:id="rId12" w:tooltip="http://www.gorodperm.ru/" w:history="1">
        <w:r>
          <w:rPr>
            <w:rStyle w:val="769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6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9"/>
            <w:color w:val="000000"/>
            <w:sz w:val="24"/>
            <w:szCs w:val="24"/>
            <w:u w:val="none"/>
          </w:rPr>
          <w:t xml:space="preserve">gorodperm</w:t>
        </w:r>
        <w:r>
          <w:rPr>
            <w:rStyle w:val="769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69"/>
            <w:color w:val="000000"/>
            <w:sz w:val="24"/>
            <w:szCs w:val="24"/>
            <w:u w:val="none"/>
          </w:rPr>
          <w:t xml:space="preserve"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13" w:tooltip="http://utp.sberbank-ast.ru/" w:history="1">
        <w:r>
          <w:rPr>
            <w:rStyle w:val="769"/>
            <w:sz w:val="24"/>
            <w:szCs w:val="24"/>
          </w:rPr>
          <w:t xml:space="preserve">http</w:t>
        </w:r>
        <w:r>
          <w:rPr>
            <w:rStyle w:val="769"/>
            <w:sz w:val="24"/>
            <w:szCs w:val="24"/>
            <w:lang w:val="ru-RU"/>
          </w:rPr>
          <w:t xml:space="preserve">://</w:t>
        </w:r>
        <w:r>
          <w:rPr>
            <w:rStyle w:val="769"/>
            <w:sz w:val="24"/>
            <w:szCs w:val="24"/>
          </w:rPr>
          <w:t xml:space="preserve">utp</w:t>
        </w:r>
        <w:r>
          <w:rPr>
            <w:rStyle w:val="769"/>
            <w:sz w:val="24"/>
            <w:szCs w:val="24"/>
            <w:lang w:val="ru-RU"/>
          </w:rPr>
          <w:t xml:space="preserve">.</w:t>
        </w:r>
        <w:r>
          <w:rPr>
            <w:rStyle w:val="769"/>
            <w:sz w:val="24"/>
            <w:szCs w:val="24"/>
          </w:rPr>
          <w:t xml:space="preserve">sberbank</w:t>
        </w:r>
        <w:r>
          <w:rPr>
            <w:rStyle w:val="769"/>
            <w:sz w:val="24"/>
            <w:szCs w:val="24"/>
            <w:lang w:val="ru-RU"/>
          </w:rPr>
          <w:t xml:space="preserve">-</w:t>
        </w:r>
        <w:r>
          <w:rPr>
            <w:rStyle w:val="769"/>
            <w:sz w:val="24"/>
            <w:szCs w:val="24"/>
          </w:rPr>
          <w:t xml:space="preserve">ast</w:t>
        </w:r>
        <w:r>
          <w:rPr>
            <w:rStyle w:val="769"/>
            <w:sz w:val="24"/>
            <w:szCs w:val="24"/>
            <w:lang w:val="ru-RU"/>
          </w:rPr>
          <w:t xml:space="preserve">.</w:t>
        </w:r>
        <w:r>
          <w:rPr>
            <w:rStyle w:val="769"/>
            <w:sz w:val="24"/>
            <w:szCs w:val="24"/>
          </w:rPr>
          <w:t xml:space="preserve">ru</w:t>
        </w:r>
      </w:hyperlink>
      <w:r>
        <w:rPr>
          <w:bCs/>
          <w:sz w:val="24"/>
          <w:szCs w:val="24"/>
          <w:lang w:val="ru-RU" w:bidi="ru-RU"/>
        </w:rPr>
        <w:t xml:space="preserve">.</w:t>
      </w:r>
      <w:r>
        <w:rPr>
          <w:rFonts w:eastAsia="Courier New"/>
          <w:b/>
          <w:color w:val="000000"/>
          <w:lang w:val="ru-RU" w:bidi="ru-RU"/>
        </w:rPr>
      </w:r>
      <w:r>
        <w:rPr>
          <w:rFonts w:eastAsia="Courier New"/>
          <w:b/>
          <w:color w:val="000000"/>
          <w:lang w:val="ru-RU" w:bidi="ru-RU"/>
        </w:rPr>
      </w:r>
    </w:p>
    <w:p>
      <w:pPr>
        <w:pStyle w:val="686"/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4" w:tooltip="http://utp.sberbank-ast.ru/" w:history="1">
        <w:r>
          <w:rPr>
            <w:rStyle w:val="769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</w:t>
        <w:br/>
        <w:t xml:space="preserve">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5" w:tooltip="https://utp.sberbank-ast.ru/Main/Notice/988/Reglament" w:history="1">
        <w:r>
          <w:rPr>
            <w:rStyle w:val="769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16" w:tooltip="https://utp.sberbank-ast.ru/AP/Notice/1027/Instructions" w:history="1">
        <w:r>
          <w:rPr>
            <w:rStyle w:val="769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7" w:tooltip="https://utp.sberbank-ast.ru/AP/Notice/652/Instructions" w:history="1">
        <w:r>
          <w:rPr>
            <w:rStyle w:val="769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686"/>
        <w:ind w:left="-567" w:firstLine="567"/>
        <w:jc w:val="both"/>
        <w:widowControl w:val="off"/>
        <w:rPr>
          <w:highlight w:val="none"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</w:t>
        <w:br/>
        <w:t xml:space="preserve">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769"/>
          <w:bCs/>
          <w:sz w:val="24"/>
          <w:szCs w:val="24"/>
          <w:lang w:val="en-US"/>
        </w:rPr>
        <w:t xml:space="preserve">dzo</w:t>
      </w:r>
      <w:r>
        <w:rPr>
          <w:rStyle w:val="769"/>
          <w:bCs/>
          <w:sz w:val="24"/>
          <w:szCs w:val="24"/>
        </w:rPr>
        <w:t xml:space="preserve">@</w:t>
      </w:r>
      <w:r>
        <w:rPr>
          <w:rStyle w:val="769"/>
          <w:bCs/>
          <w:sz w:val="24"/>
          <w:szCs w:val="24"/>
          <w:lang w:val="en-US"/>
        </w:rPr>
        <w:t xml:space="preserve">perm</w:t>
      </w:r>
      <w:r>
        <w:rPr>
          <w:rStyle w:val="769"/>
          <w:bCs/>
          <w:sz w:val="24"/>
          <w:szCs w:val="24"/>
        </w:rPr>
        <w:t xml:space="preserve">.</w:t>
      </w:r>
      <w:r>
        <w:rPr>
          <w:rStyle w:val="769"/>
          <w:bCs/>
          <w:sz w:val="24"/>
          <w:szCs w:val="24"/>
          <w:lang w:val="en-US"/>
        </w:rPr>
        <w:t xml:space="preserve">permkrai</w:t>
      </w:r>
      <w:r>
        <w:rPr>
          <w:rStyle w:val="769"/>
          <w:bCs/>
          <w:sz w:val="24"/>
          <w:szCs w:val="24"/>
        </w:rPr>
        <w:t xml:space="preserve">.</w:t>
      </w:r>
      <w:r>
        <w:rPr>
          <w:rStyle w:val="769"/>
          <w:bCs/>
          <w:sz w:val="24"/>
          <w:szCs w:val="24"/>
          <w:lang w:val="en-US"/>
        </w:rPr>
        <w:t xml:space="preserve">ru.</w:t>
      </w:r>
      <w:r>
        <w:rPr>
          <w:highlight w:val="none"/>
        </w:rPr>
      </w:r>
      <w:r>
        <w:rPr>
          <w:highlight w:val="none"/>
        </w:rPr>
      </w:r>
    </w:p>
    <w:p>
      <w:pPr>
        <w:pStyle w:val="686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686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5"/>
        <w:ind w:left="1134" w:hanging="1134"/>
        <w:jc w:val="center"/>
        <w:spacing w:line="240" w:lineRule="exact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лотах (предметах аукциона)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86"/>
        <w:ind w:right="-263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86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b/>
          <w:lang w:val="en-US"/>
        </w:rPr>
        <w:t xml:space="preserve">Лот № 1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W w:w="10485" w:type="dxa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6"/>
        <w:gridCol w:w="3265"/>
        <w:gridCol w:w="686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right="0"/>
              <w:jc w:val="left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 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 xml:space="preserve">от 02 апреля 2025 г. № 21-01-03-2796 «О проведении аукциона по продаже земельного участка  в Ленинском районе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по продаже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3"/>
              </w:numPr>
              <w:ind w:left="850" w:right="-283" w:hanging="340"/>
              <w:jc w:val="both"/>
              <w:spacing w:before="0" w:after="0"/>
              <w:widowControl/>
            </w:pPr>
            <w:r>
              <w:rPr>
                <w:sz w:val="24"/>
                <w:szCs w:val="24"/>
              </w:rPr>
              <w:t xml:space="preserve">местоположение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rFonts w:eastAsia="TimesNewRomanPSMT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улица Рыбацкая, з/у 32б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TimesNewRomanPSMT"/>
                <w:color w:val="auto"/>
                <w:sz w:val="24"/>
                <w:szCs w:val="24"/>
              </w:rPr>
            </w:r>
            <w:r>
              <w:rPr>
                <w:rFonts w:eastAsia="TimesNewRomanPSMT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3"/>
              </w:numPr>
              <w:ind w:left="850" w:right="-283" w:hanging="340"/>
              <w:spacing w:before="0" w:after="0"/>
              <w:widowControl/>
            </w:pPr>
            <w:r>
              <w:rPr>
                <w:sz w:val="24"/>
                <w:szCs w:val="24"/>
              </w:rPr>
              <w:t xml:space="preserve">площадь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1318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3"/>
              </w:numPr>
              <w:ind w:left="850" w:right="-283" w:hanging="340"/>
              <w:spacing w:before="0" w:after="0"/>
              <w:widowControl/>
            </w:pPr>
            <w:r>
              <w:rPr>
                <w:sz w:val="24"/>
                <w:szCs w:val="24"/>
              </w:rPr>
              <w:t xml:space="preserve">кадастровый 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jc w:val="both"/>
              <w:tabs>
                <w:tab w:val="left" w:pos="8256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59:01:2018011:133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3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3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 (2.1)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3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3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от </w:t>
            </w:r>
            <w:r>
              <w:rPr>
                <w:sz w:val="24"/>
                <w:szCs w:val="24"/>
              </w:rPr>
              <w:t xml:space="preserve">25.06.2025 </w:t>
              <w:br/>
              <w:t xml:space="preserve">№ </w:t>
            </w:r>
            <w:r>
              <w:rPr>
                <w:sz w:val="24"/>
                <w:szCs w:val="24"/>
              </w:rPr>
              <w:t xml:space="preserve">КУВИ-001/2025-129204148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(далее - ЕГРН)</w:t>
            </w:r>
            <w:r>
              <w:rPr>
                <w:sz w:val="24"/>
                <w:szCs w:val="24"/>
                <w14:ligatures w14:val="none"/>
              </w:rPr>
              <w:t xml:space="preserve">;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68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09.08.2023 № РФ-59-2-03-0-00-2023-1644-0</w:t>
            </w:r>
            <w:r>
              <w:rPr>
                <w:sz w:val="24"/>
                <w:szCs w:val="24"/>
              </w:rPr>
              <w:t xml:space="preserve"> 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79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сведениями из ЕГРН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границах Участка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расположена сеть электроснабжения с кадастровым номером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59:01:0000000:18003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собственности ОАО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Межрегиональная распределительная сетевая компания Урала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»), </w:t>
              <w:br/>
              <w:t xml:space="preserve">что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верждается данными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геодезической съемки, выполненной в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(нанесены не актуальные границы земельного участка)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пункту 8 статьи 39.11 Кодекса земельный участок, нахо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ящийся в государственной или муниципальной собственности, не может быть предметом аукциона, если </w:t>
              <w:br/>
              <w:t xml:space="preserve">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если </w:t>
              <w:br/>
              <w:t xml:space="preserve">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</w:t>
              <w:br/>
              <w:t xml:space="preserve">в соответствии со статьей 39.36 Кодекса.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Учитывая, что сеть электроснабжения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может размещаться </w:t>
              <w:br/>
              <w:t xml:space="preserve">на 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овании сервитута, публичного сервитута, в соответствии со статьей 39.36 Кодекса, наличие таких объектов на земельном участке не является основанием для отказа в предоставлении земельного участка на торгах и земельный участок может быть предметом аукциона.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сведениям, содержащимся в ГПЗУ, ЕГРН </w:t>
              <w:br/>
              <w:t xml:space="preserve">и справке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градостроительным условиям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25.06.2025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636038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Участок расположен в границах зон с особыми условиями использования территории: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Приаэродромной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аэ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родрома аэропорта Большое Савино, реестровый номер границы 59:32-6.553.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вести</w:t>
              <w:br/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постановлением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11.03.2010 № 138 «Об утверждении Федеральных правил использования воздушного пространства Российской Федерации»;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 в границах зоны с особыми условиями использования территории: Иная зона с особыми условиями использования территории «Зона затопления территорий, прилегающих к зарегулированной р. Кама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Воткинскому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водохранилищу) в нижнем бьефе Камского гидроузла в г. Перми Пермского края, затапливаемых при пропуске Камским гидроузлом паводков расчетной обеспеченности 1%», реестровый номер границы 59:00-6.2017.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  <w:br/>
              <w:t xml:space="preserve">и строительство вести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приказом Камского бассейнового водного управления Федерального агентства водных ресурсов от 21.11.2022 № 239 «Об установлении границ зон затопления на территориях, прилегающих </w:t>
              <w:br/>
              <w:t xml:space="preserve">к зарегулированной р. Кама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Воткинскому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водохранилищу) </w:t>
              <w:br/>
              <w:t xml:space="preserve">в нижнем бьефе Камского гидроузла в г. Перми Пермского края, затапливаемых при пропуске Камским гидроузлом паводков расчетной обеспеченности 1%»;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ограничения использования объектов недвижимости в соответствии с частью 3 статьи 67.1 Водного кодекса Российской Федерации;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границах зоны с особыми условиями использования территории Зона охраны природных объектов «Часть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водоохранной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Воткинского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водохранилища»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59:01-6.2096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(Приказ Камского бассейнового водного управления Федерального агентства водных ресурсов № 164 </w:t>
              <w:br/>
              <w:t xml:space="preserve">от 07.07.2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 установлении границ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водоохранных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 </w:t>
              <w:br/>
              <w:t xml:space="preserve">и прибрежных защитных полос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Воткинского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водохранилища»: ч. 15 ст. 65 Водного кодекса Российской Федерации </w:t>
              <w:br/>
              <w:t xml:space="preserve">от 03.06.2006 № 74-ФЗ)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зоны с особыми условиями использования территории Зона охраны природных объектов «Часть прибрежной защитной полосы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Воткинского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водохранилищ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а», 59:01-6.3928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(Приказ Камского бассейнового водного управления Федерального агентства водных ресурсов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164 от 07.07.2014 «Об установлении границ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водоохранных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прибрежных защитных полос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Воткинского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водохранилища»: ч. 15. 17 ст. 65 Водного кодекса Российской Федерации от 03.06.2006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74-ФЗ)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зоны с особыми условиями использовании территории Охранная зона инженерных коммуникаций «Охранная зона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0.4кВ от ТП-1657», 59:01-6.2030 (Постановление Правительства Российской Федерации от 24.02.2009 № 160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границах Участка строения, сооружения отсутствуют.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Ближайший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частку источник противопожарного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водоснабжения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пожарный гидрант на водоводе по адресу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Борцов Революции,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68 (около 280 м от границ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 xml:space="preserve">администрации Ленинского района города Перми</w:t>
            </w:r>
            <w:r>
              <w:rPr>
                <w:sz w:val="24"/>
                <w:szCs w:val="24"/>
              </w:rPr>
              <w:t xml:space="preserve"> </w:t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07.03.2025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-01-16/3-39, акте обследования территории от 06.03.2025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сведениям, содержащимся в ГПЗУ, ЕГРН </w:t>
              <w:br/>
              <w:t xml:space="preserve">и справке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градостроительным условиям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25.06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636038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Участок расположен в границах зон с особыми условиями использования территории: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Приаэродромной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аэ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родрома аэропорта Большое Савино, реестровый номер границы </w:t>
              <w:br/>
              <w:t xml:space="preserve">59:32-6.553.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вести </w:t>
              <w:br/>
              <w:t xml:space="preserve">в соответствии с постановлением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11.03.2010 № 138 «Об утверждении Федеральных правил использования воздушного пространства Российской Федерации»;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границах зоны с особыми условиями использования территории: Иная зона с особыми условиями использования территории «Зона затопления территорий, прилегающих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зарегулированной р. Кама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Воткинскому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водохранилищу)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нижнем бьефе Камского гидроузла в г. Перми Пермского края, затапливаемых при пропуске Камским гидроузлом паводков расчетной обеспеченности 1%», реестровый номер границы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59:00-6.2017.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вести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приказом Камского бассейнового водного управления Федерального агентства водных ресурсов </w:t>
              <w:br/>
              <w:t xml:space="preserve">от 21.11.2022 № 239 «Об установлении границ зон затопления </w:t>
              <w:br/>
              <w:t xml:space="preserve">на территориях, прилегающих к зарегулированной </w:t>
              <w:br/>
              <w:t xml:space="preserve">р. Кама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Воткинскому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водохранилищу) в нижнем бьефе Камского гидроузла в г. Перми Пермского края, затапливаемых при пропуске Камским гидроузлом паводков расчетной обеспеченности 1%»;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ограничения использования объектов недвижимости в соответствии с частью 3 статьи 67.1 Водного кодекса Российской Федерации;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Участке произрастае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 дерева пород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береза 1 шт., ива 19 шт.,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клен 7 шт.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Восстановительная стоимость сносимых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зеленых насаждений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ценах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одного лиственного дерева от 25 тыс. руб.,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хвойной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от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тыс.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Победителю аукциона необходимо соблюдать условия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строительства, указанные в письме (прилагается).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 </w:t>
            </w:r>
            <w:r>
              <w:rPr>
                <w:b/>
                <w:bCs/>
                <w:sz w:val="24"/>
                <w:szCs w:val="24"/>
              </w:rPr>
              <w:t xml:space="preserve">у</w:t>
            </w:r>
            <w:r>
              <w:rPr>
                <w:b/>
                <w:sz w:val="24"/>
                <w:szCs w:val="24"/>
              </w:rPr>
              <w:t xml:space="preserve">правления по экологии и природопользованию администрации города Перми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02.08.2023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059-33-01-10/3-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605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сформирован по границе территории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предусмотренной действующей документацией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планировке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разворотную площадку транспорта дороги по ул. Рыбацкой.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Дорога по ул. Рыбацкой входит в Перечень дорог общего пользования местного значения, утвержденного постановлением администрации города Перми</w:t>
              <w:br/>
              <w:t xml:space="preserve">от 02.06.2009 № 298.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бюджетом города Перми на 2023 год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плановый период 2024-2025 годов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строительству, реконструкции, капитальному ремонту улично-дорожной сети на рассматриваемой территории </w:t>
              <w:br/>
              <w:t xml:space="preserve">не запланировано.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примыкания Участка к улично-дорожной сети города Перми необходимо выполнить условия, указанные в указанном письме (прилагается).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Также направл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информация о соблюдении Правил благоустройства территории города Перми, утвержденных решением Пермской городской Думы</w:t>
              <w:br/>
              <w:t xml:space="preserve">от 15.12.2020 № 277,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строительстве объектов недвижимости на земельных учас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тках, предоставленных на торгах.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законом</w:t>
              <w:br/>
              <w:t xml:space="preserve">от 08.11.2007 № 257, расходы на строительства, реконструкцию, капитальный ремонт, ремонт пересечений и примыканий, в том числе расходы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выполнение дополнительных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 связанных</w:t>
              <w:br/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 xml:space="preserve">в интересах которых осуществляется строительство, реконструкция, капитальный ремонт, ремонт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ересечений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примыканий.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департамента дорог и благоустройства администрации города Перми</w:t>
            </w:r>
            <w:r>
              <w:rPr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03.08.2023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-01-36/3-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2675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Ближайшее подразделение пожарной охраны расположено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адресу: ул. Екатерининская, 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(ПСЧ-110 10-ПСО).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 общественной безопасности, отнесенные</w:t>
              <w:br/>
              <w:t xml:space="preserve">к объектам полиции (участковые пункты полиции) </w:t>
              <w:br/>
              <w:t xml:space="preserve">в данном микрорайоне (Средняя Курья) отсутствуют. Ближайший участковый пункт расположен по адресу:</w:t>
              <w:br/>
              <w:t xml:space="preserve">г. Пермь, ул. Профессора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Дедюкина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7 (микрорайон Студгородок, Ленинский район). В настоящее время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указанном микрорайоне строительство (приобретение) участковых пунктов полиции не планируется.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 для аварийно-спасательных формирований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указанной территории отсутствуют. В настоящее время потребность в обеспечении служебными помещениями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аварийно-спасательных формирований в указанном районе отсутствует.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противопожарного водоснабжения </w:t>
              <w:br/>
              <w:t xml:space="preserve">на указанной территории отсутствуют.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размещении объектов на вышеуказанной территории необходимо соблюдать нормы и требования действующего законодательства: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Федеральных законов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21.12.1994 № 69-ФЗ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пожарной безопасности»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от 22.07.2008 № 123-ФЗ «Технический регламент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требованиях пожарной безопасности», Региональных нормативов градостроительного проектирования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и градостроительной деятельности Пермского края от 25.02.2021 № 31-02-1-4-248,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также Свода правил 8.13130 «Системы противопожарной защиты.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пожара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объектах защиты.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информации, предоставленной Министерством территориальной безопасности Пермского края, рассматриваемая территория попадает в зону возможного химического заражения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особый период.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Рассматриваемая территория находится в зоне возможного катастрофического затопления. В соответствии с требованиями главы 4 СП 11-112-2001 от 29.10.2001 «Порядок разработки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и состав раздела «Инженерно-технические мероприятия гражданской обороны. Мероприятия по предупреждению чрезвычайных ситуаций градостроительной документации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территорий городс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и сельских поселений, других муниципальных образований» заказчик градостроительной документации осуществляет сбор исходных данных </w:t>
              <w:br/>
              <w:t xml:space="preserve">и требования для разработки раздела «ИТМ ГО ЧС». Эти данные предоставляет Главное управление МЧС России </w:t>
              <w:br/>
              <w:t xml:space="preserve">по Пермскому краю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соответствующему запросу. Примерная форма запроса приведена в приложении «Б» вышеуказанного свода правил.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указанной территории оконечные 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системы оповещения населения города Перми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отсутствуют.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обеспечения покрытия запланированной территории системой оповещения населения необходимо предусматривать 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сиренно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-речевых узлов согласно пунктам 6.38, 6.39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 165.1325800.2014 «Свод правил. Инженерно-технические мероприятия по гражданской обороне. Актуализированная редакция СНиП 2.01.51-90».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(Аналогичная информация отражена в письме   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департамента общественной безопасности администрации города Перми</w:t>
            </w:r>
            <w:r>
              <w:rPr>
                <w:sz w:val="24"/>
                <w:szCs w:val="24"/>
                <w:lang w:val="ru-RU"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09.08.2023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059-10-0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1-27/3-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1354</w:t>
            </w:r>
            <w:r>
              <w:rPr>
                <w:sz w:val="24"/>
                <w:szCs w:val="24"/>
                <w:lang w:val="ru-RU" w:eastAsia="ru-RU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3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8" w:tooltip="http://www.gorodperm.ru/" w:history="1">
              <w:r>
                <w:rPr>
                  <w:rStyle w:val="769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86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ссийской Федерации </w:t>
              <w:br/>
              <w:t xml:space="preserve">от 20.10.2016 № 725/пр (ред. от 17.05.2023): дом должен включать жилые комнаты – одну или несколько (общую комнату или гостиную, спальню), а также вспомогательные помещения: переднюю, кухню (в том числе кухню-столовую </w:t>
              <w:br/>
              <w:t xml:space="preserve">и (или) кухню-ниш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у), ванные комнаты и (или) душевые, туалет (уборную) или совмещенный санузел, переднюю. </w:t>
            </w:r>
            <w:r/>
          </w:p>
          <w:p>
            <w:pPr>
              <w:pStyle w:val="686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ласно пункту 6.1 СП 55.13330.2016 площади помещений строящихся и реконструируемых жилых домов должны быть </w:t>
              <w:br/>
              <w:t xml:space="preserve">не менее: общей комнаты в однокомнатном доме - 14 м2, общей комнаты в доме с числом комнат две и более - 16 м2, </w:t>
              <w:br/>
              <w:t xml:space="preserve">спальни - 8 м2 (на двух человек - 10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м2); кухни - 8 м2; кухонной зоны в кухне-столовой - 6 м2. В домах с одной комнатой допускается проектировать кухни или кухни-ниши площадью не менее 5 м2. Площадь спальни и кухни в мансардном этаже (или этаже с наклонными ограждающими конструкциями) допуска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ется не менее 7 м2 при условии, что общая жилая комната имеет площадь не менее 16 м2.</w:t>
            </w:r>
            <w:r/>
          </w:p>
          <w:p>
            <w:pPr>
              <w:pStyle w:val="686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огласно пункту 6.2 СП 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2,5 м. Высота внутридомовых коридоров, холлов, передних, антресолей должна составлять не менее 2,1 м, а высота пути </w:t>
              <w:br/>
              <w:t xml:space="preserve">эвакуации - не менее 2,2 м.</w:t>
            </w:r>
            <w:r/>
          </w:p>
          <w:p>
            <w:pPr>
              <w:pStyle w:val="686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жилых комнатах и кухнях, расположенных </w:t>
              <w:br/>
              <w:t xml:space="preserve">в этажах с наклонными ограждающими конструкциями или </w:t>
              <w:br/>
              <w:t xml:space="preserve">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  <w:r/>
          </w:p>
          <w:p>
            <w:pPr>
              <w:pStyle w:val="686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информации, содержащейся в ГПЗУ </w:t>
              <w:br/>
              <w:t xml:space="preserve">от 09.08.2023 № РФ-59-2-03-0-00-2023-1644-0, предельная высота зданий, строений не более 10,5 м.</w:t>
            </w:r>
            <w:r/>
          </w:p>
          <w:p>
            <w:pPr>
              <w:pStyle w:val="686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инимальный отступ от границ Участка до места допустимого размещения зданий, строений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нировки территории, а также смежных земельных участков при блокированной жилой застройке) – 3 м.</w:t>
            </w:r>
            <w:r/>
          </w:p>
          <w:p>
            <w:pPr>
              <w:pStyle w:val="686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</w:t>
              <w:br/>
              <w:t xml:space="preserve">от красной линии. В случаях, когда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иния регулирования застройки отличается от красной линии, указанный выступ может быть произведен за линию регулирования застройки. </w:t>
            </w:r>
            <w:r/>
          </w:p>
          <w:p>
            <w:pPr>
              <w:pStyle w:val="686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процент застройки в границах </w:t>
              <w:br/>
              <w:t xml:space="preserve">Участка – 30%.</w:t>
            </w:r>
            <w:r/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3"/>
              </w:numPr>
              <w:ind w:left="52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9" w:tooltip="http://www.gorodperm.ru/" w:history="1">
              <w:r>
                <w:rPr>
                  <w:rStyle w:val="769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sz w:val="24"/>
              </w:rPr>
              <w:t xml:space="preserve">О наличии технической возможности технологического присоединения </w:t>
            </w:r>
            <w:r>
              <w:rPr>
                <w:rFonts w:ascii="Times New Roman" w:hAnsi="Times New Roman"/>
                <w:sz w:val="24"/>
              </w:rPr>
              <w:t xml:space="preserve">энергопринимающего</w:t>
            </w:r>
            <w:r>
              <w:rPr>
                <w:rFonts w:ascii="Times New Roman" w:hAnsi="Times New Roman"/>
                <w:sz w:val="24"/>
              </w:rPr>
              <w:t xml:space="preserve"> устройства объекта </w:t>
              <w:br/>
              <w:t xml:space="preserve">с предполагаемым </w:t>
            </w:r>
            <w:r>
              <w:rPr>
                <w:rFonts w:ascii="Times New Roman" w:hAnsi="Times New Roman"/>
                <w:sz w:val="24"/>
              </w:rPr>
              <w:t xml:space="preserve">электоропотреблением</w:t>
            </w:r>
            <w:r>
              <w:rPr>
                <w:rFonts w:ascii="Times New Roman" w:hAnsi="Times New Roman"/>
                <w:sz w:val="24"/>
              </w:rPr>
              <w:t xml:space="preserve"> 15 кВт.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с «Правилами технологического присоединения </w:t>
            </w:r>
            <w:r>
              <w:rPr>
                <w:rFonts w:ascii="Times New Roman" w:hAnsi="Times New Roman"/>
                <w:sz w:val="24"/>
              </w:rPr>
              <w:t xml:space="preserve">энергопринимающих</w:t>
            </w:r>
            <w:r>
              <w:rPr>
                <w:rFonts w:ascii="Times New Roman" w:hAnsi="Times New Roman"/>
                <w:sz w:val="24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</w:t>
            </w:r>
            <w:r>
              <w:rPr>
                <w:rFonts w:ascii="Times New Roman" w:hAnsi="Times New Roman"/>
                <w:sz w:val="24"/>
              </w:rPr>
              <w:t xml:space="preserve">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в составе договора о технологическом присоединении.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Плата за технологическое присоединение </w:t>
            </w:r>
            <w:r>
              <w:rPr>
                <w:rFonts w:ascii="Times New Roman" w:hAnsi="Times New Roman"/>
                <w:sz w:val="24"/>
              </w:rPr>
              <w:t xml:space="preserve">энергопринимающих</w:t>
            </w:r>
            <w:r>
              <w:rPr>
                <w:rFonts w:ascii="Times New Roman" w:hAnsi="Times New Roman"/>
                <w:sz w:val="24"/>
              </w:rPr>
              <w:t xml:space="preserve"> устройств устанавливается исходя </w:t>
              <w:br/>
              <w:t xml:space="preserve">из стоимости мероприятий </w:t>
            </w:r>
            <w:r>
              <w:rPr>
                <w:rFonts w:ascii="Times New Roman" w:hAnsi="Times New Roman"/>
                <w:sz w:val="24"/>
              </w:rPr>
              <w:t xml:space="preserve">по технологическому присоединению, размер платы определяется </w:t>
            </w:r>
            <w:r>
              <w:rPr>
                <w:rFonts w:ascii="Times New Roman" w:hAnsi="Times New Roman"/>
                <w:sz w:val="24"/>
              </w:rPr>
              <w:br/>
              <w:t xml:space="preserve">по утвержденным тарифам согласно постановлению РСТ Пермского края от 23.11.2023 № 121-тп (в последней редакции).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Подать заявку на технологическое присоединение возможно через единый федеральный портал электросетевых услуг группы компаний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на сайте: https://портал-тп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 или через Моби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льное приложение ПАО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sz w:val="24"/>
                <w:szCs w:val="24"/>
              </w:rPr>
              <w:t xml:space="preserve">ф</w:t>
            </w:r>
            <w:r>
              <w:rPr>
                <w:b/>
                <w:sz w:val="24"/>
                <w:szCs w:val="24"/>
              </w:rPr>
              <w:t xml:space="preserve">илиала ПАО «Россети Урал» - «Пермэнерго»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23.08.2023</w:t>
            </w:r>
            <w:r>
              <w:rPr>
                <w:rFonts w:ascii="Times New Roman" w:hAnsi="Times New Roman"/>
                <w:sz w:val="24"/>
              </w:rPr>
              <w:t xml:space="preserve"> </w:t>
              <w:br/>
              <w:t xml:space="preserve">№ ПЭ/</w:t>
            </w:r>
            <w:r>
              <w:rPr>
                <w:rFonts w:ascii="Times New Roman" w:hAnsi="Times New Roman"/>
                <w:sz w:val="24"/>
              </w:rPr>
              <w:t xml:space="preserve">ПГЭС</w:t>
            </w:r>
            <w:r>
              <w:rPr>
                <w:rFonts w:ascii="Times New Roman" w:hAnsi="Times New Roman"/>
                <w:sz w:val="24"/>
              </w:rPr>
              <w:t xml:space="preserve">/01/22/7706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/час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 существующим сетям газораспределения имеется.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АО «Газпром газораспределение Пермь»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17.07.2023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ПФ-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4672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наличии технической возможности подключения объе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кта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планируемой величиной подключаемой нагрузки по водоснабжению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водоотведению – 1,0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централизованным системам водоснабжения и водоотведения,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так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предоставлении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информации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наличии сетей водопровода</w:t>
            </w:r>
            <w:r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канализации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  <w:br/>
              <w:t xml:space="preserve">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границах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указанного земельного участка, с указанием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охранной зоны, сообщается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настоящее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время отсутствует техническая возможность подключения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централизованным системам водоснабжения</w:t>
              <w:br/>
              <w:t xml:space="preserve">и водоотведения, поскольку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Участка отсутствуют централизованные сети водоснабжения и водоотведения, эксплуатируемые ООО «НОВОГОР-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Прикамье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Ближайшие сети водоснабжения и водоотведения, эксплуатируемые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ООО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«НОВОГОР-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Прикамье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», располагаются </w:t>
              <w:br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районе ул. Спешилова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ориентировочно на расстоянии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2,0 км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  <w:br/>
              <w:t xml:space="preserve">от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частка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 проектировании могут быть применены альтернативные способы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водоснабжения и водоотведения, без подключения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  <w:br/>
              <w:t xml:space="preserve">к централизованным системам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водопровода и канализации </w:t>
              <w:br/>
              <w:t xml:space="preserve">г. Перми (снабжение водой от скважины, отвод стоков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 локальные очистные сооружения,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канализование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объекта </w:t>
              <w:br/>
              <w:t xml:space="preserve">в выгребную яму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 последующим вывозом стоков спец. машинами), которые должны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соответствовать всем нормативным требованиям Российской Федерации.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 вопросу возможности обеспечения индивидуального жилого дома холодным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водоснабжением от скважины и отвода канализационных стоков локально,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предлагае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тся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обратиться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  <w:br/>
              <w:t xml:space="preserve">в соответствующие организации, регулирующие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недропользование.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ООО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«НОВОГОР-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Прикамье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» не располагает сведениями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 наличии сетей 3-х лиц в границах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частка.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  <w:br/>
            </w:r>
            <w:r>
              <w:rPr>
                <w:b/>
                <w:sz w:val="24"/>
                <w:szCs w:val="24"/>
              </w:rPr>
              <w:t xml:space="preserve">ООО «НОВОГОР-Прикамье»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14.07.2023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110-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1274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расположен вне зоны теплоснабжения ПАО                «Т Плюс».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 xml:space="preserve">Филиала «Пермский ПАО «Т Плюс»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02.08.2023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51000-32-0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2283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возможность подключения к сетям теплоснабжения отсутствует.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качестве альтернат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ивного энергоресурса рекомендуется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рассмотреть газ.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28.08.2023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059-04-25/3-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-ри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Технологическое присоединение к сетям связи </w:t>
              <w:br/>
              <w:t xml:space="preserve">ПАО «Ростелеком» планируемых к строительству объектов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в границах Участка может быть произведено в точке подключения узел ВОЛС (г. Пермь, ул. Попова, 17), максимальную нагрузку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точке подключения (технологического присоединения) определить на стадии проектирования.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границах Участка сетей 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ПАО «Ростелеком»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их охранных зон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подключения (технологического присоединения)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шеуказанных объектов к сетям электросвязи </w:t>
              <w:br/>
              <w:t xml:space="preserve">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 xml:space="preserve">о подключении в порядке, определенном действующим законодательством.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получения технических условий на подключение </w:t>
              <w:br/>
              <w:t xml:space="preserve">к сетям связи ПАО «Ростелеком» необходимо обратиться </w:t>
              <w:br/>
              <w:t xml:space="preserve">в Отдел продаж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обслуживания по адресу: г. Пермь, </w:t>
              <w:br/>
              <w:t xml:space="preserve">ул. Крупской, 2, тел.: (342) 235-57-34 или направить запрос </w:t>
              <w:br/>
              <w:t xml:space="preserve">на perm-mail@ural.rt.ru.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  <w:br/>
            </w:r>
            <w:r>
              <w:rPr>
                <w:b/>
                <w:sz w:val="24"/>
                <w:szCs w:val="24"/>
              </w:rPr>
              <w:t xml:space="preserve">ПАО «Ростелеком»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.2025 от 01/05/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30705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/25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территории, где расположен Участок,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схемами водоснабжения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водоотведения города Перми, утвержденными постановлением  администрации города Перми от 28.12.2018 </w:t>
              <w:br/>
              <w:t xml:space="preserve">№ 1085, на период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2028 года не предусмотрено строительство сетей водоснабжения и водоотведения.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02.08.2023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059-04-17/3-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-ри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Начальная цена предмета аукциона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6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b/>
                <w:sz w:val="24"/>
                <w:szCs w:val="24"/>
                <w:shd w:val="clear" w:color="auto" w:fill="auto"/>
              </w:rPr>
              <w:t xml:space="preserve">(рыночная стоимость земельного участка)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6"/>
              <w:ind w:left="0" w:right="0" w:firstLine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86"/>
              <w:ind w:left="0" w:right="0" w:firstLine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4"/>
              </w:rPr>
              <w:t xml:space="preserve">По условиям пункта 4.1 проекта договора купли-продажи земельного участка, приобретаемого на торгах в форме аукциона, для строительства (Приложение 2 к настоящему извещению),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686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победитель аукциона, иное лицо, с которым договор заключается в соответствии с п.13, п.14, п. 20 или п. 25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6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в течение 15 дней</w:t>
            </w:r>
            <w:r>
              <w:rPr>
                <w:sz w:val="24"/>
                <w:szCs w:val="24"/>
                <w:shd w:val="clear" w:color="auto" w:fill="auto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val="clear" w:color="auto" w:fill="auto"/>
              </w:rPr>
              <w:t xml:space="preserve"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договоров).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6 681 000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«Шаг аукциона» (5%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334 050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Форма заявки на участие в аукционе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 xml:space="preserve">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</w:t>
              <w:br/>
              <w:t xml:space="preserve">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Размер задатка (50%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3 340 500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Дата </w:t>
            </w:r>
            <w:r>
              <w:rPr>
                <w:b w:val="0"/>
                <w:shd w:val="clear" w:color="auto" w:fill="auto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0"/>
                <w:sz w:val="24"/>
                <w:szCs w:val="24"/>
                <w:shd w:val="clear" w:color="auto" w:fill="auto"/>
                <w:lang w:val="en-US" w:eastAsia="en-US"/>
              </w:rPr>
              <w:t xml:space="preserve">сайтах www.torgi.gov.ru, www.gorodperm.ru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09.06.2020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купли-продажи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2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 xml:space="preserve"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686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b/>
          <w:lang w:val="en-US"/>
        </w:rPr>
        <w:t xml:space="preserve">Лот № 2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W w:w="10485" w:type="dxa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56"/>
        <w:gridCol w:w="3265"/>
        <w:gridCol w:w="686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right="0"/>
              <w:jc w:val="left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 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Перми </w:t>
            </w:r>
            <w:r>
              <w:rPr>
                <w:sz w:val="24"/>
                <w:szCs w:val="28"/>
              </w:rPr>
              <w:t xml:space="preserve">от 02 апреля 2025 г. № 21-01-03-2797 «О проведении аукциона по продаже земельного участка  в Ленинском районе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по продаже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restart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850" w:right="-283" w:hanging="340"/>
              <w:jc w:val="both"/>
              <w:spacing w:before="0" w:after="0"/>
              <w:widowControl/>
            </w:pPr>
            <w:r>
              <w:rPr>
                <w:sz w:val="24"/>
                <w:szCs w:val="24"/>
              </w:rPr>
              <w:t xml:space="preserve">местоположение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улица Конечная, з/у 1ж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850" w:right="-283" w:hanging="340"/>
              <w:spacing w:before="0" w:after="0"/>
              <w:widowControl/>
            </w:pPr>
            <w:r>
              <w:rPr>
                <w:sz w:val="24"/>
                <w:szCs w:val="24"/>
              </w:rPr>
              <w:t xml:space="preserve">площадь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956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850" w:right="-283" w:hanging="340"/>
              <w:spacing w:before="0" w:after="0"/>
              <w:widowControl/>
            </w:pPr>
            <w:r>
              <w:rPr>
                <w:sz w:val="24"/>
                <w:szCs w:val="24"/>
              </w:rPr>
              <w:t xml:space="preserve">кадастровый 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jc w:val="both"/>
              <w:tabs>
                <w:tab w:val="left" w:pos="8256" w:leader="none"/>
              </w:tabs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  <w:t xml:space="preserve">59:01:3210373:274</w:t>
            </w:r>
            <w:r>
              <w:rPr>
                <w:color w:val="auto"/>
                <w:sz w:val="24"/>
                <w:szCs w:val="24"/>
                <w14:ligatures w14:val="none"/>
              </w:rPr>
            </w:r>
            <w:r>
              <w:rPr>
                <w:color w:val="auto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от </w:t>
            </w:r>
            <w:r>
              <w:rPr>
                <w:color w:val="auto"/>
                <w:sz w:val="24"/>
                <w:szCs w:val="24"/>
              </w:rPr>
              <w:t xml:space="preserve">26.06.2025г. </w:t>
              <w:br/>
              <w:t xml:space="preserve">№ КУВИ-001/2025-129899567 </w:t>
            </w:r>
            <w:r>
              <w:rPr>
                <w:sz w:val="24"/>
                <w:szCs w:val="24"/>
              </w:rPr>
              <w:t xml:space="preserve">(далее - ЕГРН)</w:t>
            </w:r>
            <w:r>
              <w:rPr>
                <w:sz w:val="24"/>
                <w:szCs w:val="24"/>
                <w14:ligatures w14:val="none"/>
              </w:rPr>
              <w:t xml:space="preserve">;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686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градостроительном плане земельного участка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13.02</w:t>
            </w:r>
            <w:r>
              <w:rPr>
                <w:rFonts w:ascii="Times New Roman" w:hAnsi="Times New Roman"/>
                <w:sz w:val="24"/>
              </w:rPr>
              <w:t xml:space="preserve">.2025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№</w:t>
            </w:r>
            <w:r>
              <w:rPr>
                <w:rFonts w:ascii="Times New Roman" w:hAnsi="Times New Roman"/>
                <w:sz w:val="24"/>
              </w:rPr>
              <w:t xml:space="preserve"> РФ-59-2-03-0-00-2025-0284</w:t>
            </w:r>
            <w:r>
              <w:rPr>
                <w:rFonts w:ascii="Times New Roman" w:hAnsi="Times New Roman"/>
                <w:sz w:val="24"/>
              </w:rPr>
              <w:t xml:space="preserve">-0</w:t>
            </w:r>
            <w:r>
              <w:rPr>
                <w:sz w:val="24"/>
                <w:szCs w:val="24"/>
              </w:rPr>
              <w:t xml:space="preserve"> 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79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сведениями из ЕГРН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границах Участка объекты капитального строительства отсутствуют.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данным геодезической съемки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выполненной </w:t>
              <w:br/>
              <w:t xml:space="preserve">в 2024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копии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планшета М 1:500 (требующего корректуры)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Участке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линии электропередач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вести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постановлением Правительства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Федерации от 24.02.2009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160 «О порядке установления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охранны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осетевого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хозяй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и особых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расположенных в границах таких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before="0" w:after="0"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Земельный участок свободен, строения, сооружения отсутствуют.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акте обследования территории  </w:t>
            </w:r>
            <w:r>
              <w:rPr>
                <w:b/>
                <w:sz w:val="24"/>
                <w:szCs w:val="24"/>
              </w:rPr>
              <w:t xml:space="preserve">администрации Ленинского района города Перми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03.04.2025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сведениям, содержащимся в ГПЗУ, ЕГРН </w:t>
              <w:br/>
              <w:t xml:space="preserve">и справке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градостроительным условиям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636186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Участок расположен в границах зон с особыми условиями использования территории: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Приаэродромной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аэ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родрома аэропорта Большое Савино, реестровый номер границы </w:t>
              <w:br/>
              <w:t xml:space="preserve">59:32-6.553.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вести </w:t>
              <w:br/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постановлением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Правительства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11.03.2010 № 138 «Об утверждении Федеральных правил использования воздушного пространства Российской Федерации»;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частично в охранной зоне инженерных коммуникаций «Охранная зона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Ф. АВТОРЫНОК, участок от КТП 1655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КТП 1658, от КТП 1658 до ТП 0844, от ТП 0844 до ТП 4450,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КТП 1750», реестровый номер границы 59:01-6.3427. Площадь пересечения составляет 496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зоны с особыми условиями использования территории: Иная зона с особыми условиями использования территории «Зона затопления территорий, прилегающих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зарегулированной р. Кама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Воткинскому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водохранилищу)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нижнем бьефе Камского гидроузла </w:t>
              <w:br/>
              <w:t xml:space="preserve">в г. Перми Пермского края, затапливаемых при пропуске Камским гидроузлом паводков расчетной обеспеченности 1%», реестровый номер границы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59:00-6.2017.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 пересечения составляет 554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ирование и строительство вести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приказом Камского бассейнового водного управления Федерального агентства водных ресурсов от 21.11.2022 № 239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 установлении границ зон затопления на территориях, прилегающих к зарегулированной р. Кама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Воткинскому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водохранилищу) в нижнем бьефе Камского гидроузла </w:t>
              <w:br/>
              <w:t xml:space="preserve">в г. Перми Пермского края, затапливаемых при пропуске Камским гидроузлом паводков расчетной обеспеченности 1%»;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ограничения использования объектов недвижимости </w:t>
              <w:br/>
              <w:t xml:space="preserve">в соответствии с частью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статьи 67.1 Водно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кодекса Российской Федерации. 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Участке произрастае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ерево пород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шт., тополь 8 шт., ива 2 шт.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Восстановительная стоимос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сносимых зеленых насаждений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ценах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года: одного лиственного дерева от 25 тыс. руб.,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хвойной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от 30 тыс.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Победителю аукциона необходимо соблюдать условия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указанные в перечне мероприятий от 17.02.2025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указанные в письме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 </w:t>
            </w:r>
            <w:r>
              <w:rPr>
                <w:b/>
                <w:bCs/>
                <w:sz w:val="24"/>
                <w:szCs w:val="24"/>
              </w:rPr>
              <w:t xml:space="preserve">у</w:t>
            </w:r>
            <w:r>
              <w:rPr>
                <w:b/>
                <w:sz w:val="24"/>
                <w:szCs w:val="24"/>
              </w:rPr>
              <w:t xml:space="preserve">правления по экологии и природопользованию администрации города Перми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17.02.2025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059-33-01-10/3-</w:t>
            </w:r>
            <w:r>
              <w:rPr>
                <w:sz w:val="24"/>
                <w:szCs w:val="24"/>
              </w:rPr>
              <w:t xml:space="preserve">132).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Бюджетом города Перми на 2025-2029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строительству, реконструкции, капитальному ремонту улично-дорожной сети на рассматриваемой территории </w:t>
              <w:br/>
              <w:t xml:space="preserve">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примыкания Участка к улично-дорожной сети города Перми необходимо выполнить условия, указанные в указанном письме (прилагается).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Также направлена информация о соблюдении Правил благоустройства территории города Перми, утвержденных решением Пермской городской Думы от 15.12.2020 № 277,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строительстве объектов недвижимости на земельных учас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тках, предоставленных на торгах.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законом от 08.11.2007 </w:t>
              <w:br/>
              <w:t xml:space="preserve">№ 257, расходы на строительства, реконструкцию, капитальный ремонт, ремонт пересечений и примыканий, в том числе расходы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выполнение дополнительных работ связа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  <w:br/>
              <w:t xml:space="preserve">с обеспечением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 xml:space="preserve">в интересах которых осуществляется строительство, реконструкция, капитальный ремонт, ремонт пересечений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примыканий.   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департамента дорог и благоустройства администрации города Перми</w:t>
            </w:r>
            <w:r>
              <w:rPr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03.02.2025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-01-36/3-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79"/>
              <w:ind w:firstLine="340"/>
              <w:jc w:val="both"/>
              <w:spacing w:line="240" w:lineRule="auto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Ближайшее подразделение пожарной охраны расположено </w:t>
            </w:r>
            <w:r>
              <w:rPr>
                <w:sz w:val="24"/>
                <w:lang w:val="ru-RU" w:eastAsia="ru-RU"/>
              </w:rPr>
              <w:t xml:space="preserve">по адресу: ул. Екатерининская, 53</w:t>
            </w:r>
            <w:r>
              <w:rPr>
                <w:sz w:val="24"/>
                <w:lang w:val="ru-RU" w:eastAsia="ru-RU"/>
              </w:rPr>
              <w:t xml:space="preserve"> А</w:t>
            </w:r>
            <w:r>
              <w:rPr>
                <w:sz w:val="24"/>
                <w:lang w:val="ru-RU" w:eastAsia="ru-RU"/>
              </w:rPr>
              <w:t xml:space="preserve"> (ПСЧ-110 10-ПСО).</w:t>
            </w:r>
            <w:r>
              <w:rPr>
                <w:sz w:val="24"/>
                <w:lang w:val="ru-RU" w:eastAsia="ru-RU"/>
              </w:rPr>
            </w:r>
            <w:r>
              <w:rPr>
                <w:sz w:val="24"/>
                <w:lang w:val="ru-RU" w:eastAsia="ru-RU"/>
              </w:rPr>
            </w:r>
          </w:p>
          <w:p>
            <w:pPr>
              <w:pStyle w:val="779"/>
              <w:ind w:firstLine="340"/>
              <w:jc w:val="both"/>
              <w:spacing w:line="240" w:lineRule="auto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Ближайший источник противопожарного водоснабжения (пожарный водоем) на указанной территории расположен </w:t>
              <w:br/>
            </w:r>
            <w:r>
              <w:rPr>
                <w:sz w:val="24"/>
                <w:lang w:val="ru-RU" w:eastAsia="ru-RU"/>
              </w:rPr>
              <w:t xml:space="preserve">по адресу: ул. Борцов Революции, 2а в радиусе 200 метров.</w:t>
            </w:r>
            <w:r>
              <w:rPr>
                <w:sz w:val="24"/>
                <w:lang w:val="ru-RU" w:eastAsia="ru-RU"/>
              </w:rPr>
            </w:r>
            <w:r>
              <w:rPr>
                <w:sz w:val="24"/>
                <w:lang w:val="ru-RU" w:eastAsia="ru-RU"/>
              </w:rPr>
            </w:r>
          </w:p>
          <w:p>
            <w:pPr>
              <w:pStyle w:val="779"/>
              <w:ind w:firstLine="340"/>
              <w:jc w:val="both"/>
              <w:spacing w:line="240" w:lineRule="auto"/>
              <w:rPr>
                <w:sz w:val="24"/>
                <w:lang w:val="ru-RU" w:eastAsia="ru-RU"/>
              </w:rPr>
            </w:pPr>
            <w:r>
              <w:rPr>
                <w:spacing w:val="-2"/>
                <w:sz w:val="24"/>
                <w:lang w:val="ru-RU" w:eastAsia="ru-RU"/>
              </w:rPr>
              <w:t xml:space="preserve">Помещения для аварийно-спасательных служб и (или) аварийно-</w:t>
            </w:r>
            <w:r>
              <w:rPr>
                <w:sz w:val="24"/>
                <w:lang w:val="ru-RU" w:eastAsia="ru-RU"/>
              </w:rPr>
              <w:t xml:space="preserve"> спасательных формирований на указанной территории отсутствуют.</w:t>
            </w:r>
            <w:r>
              <w:rPr>
                <w:sz w:val="24"/>
                <w:lang w:val="ru-RU" w:eastAsia="ru-RU"/>
              </w:rPr>
            </w:r>
            <w:r>
              <w:rPr>
                <w:sz w:val="24"/>
                <w:lang w:val="ru-RU" w:eastAsia="ru-RU"/>
              </w:rPr>
            </w:r>
          </w:p>
          <w:p>
            <w:pPr>
              <w:pStyle w:val="779"/>
              <w:ind w:firstLine="340"/>
              <w:jc w:val="both"/>
              <w:spacing w:line="240" w:lineRule="auto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 </w:t>
              <w:br/>
              <w:t xml:space="preserve">в данном микрорайоне (Камская Долина) отсутствуют. Ближайший участковый пункт расположен по адресу: </w:t>
              <w:br/>
              <w:t xml:space="preserve">г. Пермь, ул. Профессора </w:t>
            </w:r>
            <w:r>
              <w:rPr>
                <w:sz w:val="24"/>
                <w:lang w:val="ru-RU" w:eastAsia="ru-RU"/>
              </w:rPr>
              <w:t xml:space="preserve">Дедюкина</w:t>
            </w:r>
            <w:r>
              <w:rPr>
                <w:sz w:val="24"/>
                <w:lang w:val="ru-RU" w:eastAsia="ru-RU"/>
              </w:rPr>
              <w:t xml:space="preserve">, 7, (микрорайон Академический городок, Ленинского района). </w:t>
            </w:r>
            <w:r>
              <w:rPr>
                <w:sz w:val="24"/>
                <w:lang w:val="ru-RU" w:eastAsia="ru-RU"/>
              </w:rPr>
              <w:br/>
              <w:t xml:space="preserve">В настоящее время в указанном микрорайоне строительство (приобретение) участковых пунктов полиции не планируется.</w:t>
            </w:r>
            <w:r>
              <w:rPr>
                <w:sz w:val="24"/>
                <w:lang w:val="ru-RU" w:eastAsia="ru-RU"/>
              </w:rPr>
            </w:r>
            <w:r>
              <w:rPr>
                <w:sz w:val="24"/>
                <w:lang w:val="ru-RU" w:eastAsia="ru-RU"/>
              </w:rPr>
            </w:r>
          </w:p>
          <w:p>
            <w:pPr>
              <w:pStyle w:val="779"/>
              <w:ind w:firstLine="340"/>
              <w:jc w:val="both"/>
              <w:spacing w:line="240" w:lineRule="auto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По информации, предоставленной Министерством территориальной безопасности Пермского края (письмо </w:t>
            </w:r>
            <w:r>
              <w:rPr>
                <w:sz w:val="24"/>
                <w:lang w:val="ru-RU" w:eastAsia="ru-RU"/>
              </w:rPr>
              <w:br/>
              <w:t xml:space="preserve">от 07.10.2020 № 964с), рассматриваемая территория попадает </w:t>
            </w:r>
            <w:r>
              <w:rPr>
                <w:sz w:val="24"/>
                <w:lang w:val="ru-RU" w:eastAsia="ru-RU"/>
              </w:rPr>
              <w:t xml:space="preserve">в зону возможного химического заражения в особый период.</w:t>
            </w:r>
            <w:r>
              <w:rPr>
                <w:sz w:val="24"/>
                <w:lang w:val="ru-RU" w:eastAsia="ru-RU"/>
              </w:rPr>
            </w:r>
            <w:r>
              <w:rPr>
                <w:sz w:val="24"/>
                <w:lang w:val="ru-RU" w:eastAsia="ru-RU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указанной территории оконечные 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оповещения населения города Перми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отсутствуют. Для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покрытия запланированной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территории системой оповещения населения необходимо предусматривать 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сиренно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-речевых узлов согласно пунктам 6.38, 6.39 СП 165.1325800.2014 «Свод правил. Инженерно-технические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гражданской обороне. Актуализированная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редакция СНиП 2.01.51-90».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sz w:val="24"/>
                <w:szCs w:val="24"/>
                <w:highlight w:val="none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(Аналогичная информация отражена в письме   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департамента общественной безопасности администрации города Перми</w:t>
            </w:r>
            <w:r>
              <w:rPr>
                <w:sz w:val="24"/>
                <w:szCs w:val="24"/>
                <w:lang w:val="ru-RU" w:eastAsia="ru-RU"/>
              </w:rPr>
              <w:t xml:space="preserve"> от 03.02.2025 № 059-10-01-27/3-245).</w:t>
            </w:r>
            <w:r>
              <w:rPr>
                <w:sz w:val="24"/>
                <w:szCs w:val="24"/>
                <w:highlight w:val="none"/>
                <w:lang w:val="ru-RU" w:eastAsia="ru-RU"/>
              </w:rPr>
            </w:r>
            <w:r>
              <w:rPr>
                <w:sz w:val="24"/>
                <w:szCs w:val="24"/>
                <w:highlight w:val="none"/>
                <w:lang w:val="ru-RU" w:eastAsia="ru-RU"/>
              </w:rPr>
            </w:r>
          </w:p>
          <w:p>
            <w:pPr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highlight w:val="none"/>
                <w:lang w:val="ru-RU"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850" w:right="113" w:hanging="34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0" w:tooltip="http://www.gorodperm.ru/" w:history="1">
              <w:r>
                <w:rPr>
                  <w:rStyle w:val="769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86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86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оектирование и строительство необходимо вести </w:t>
              <w:br/>
              <w:t xml:space="preserve">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ссийской Федерации </w:t>
              <w:br/>
              <w:t xml:space="preserve">от 20.10.2016 № 725/пр (ред. от 17.05.2023): дом должен включать жилые комнаты – одну или несколько (общую комнату или гостиную, спальню), а также вспомогательные помещения: переднюю, кухню (в том числе кухню-столовую </w:t>
              <w:br/>
              <w:t xml:space="preserve">и (или) кухню-ниш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у), ванные комнаты и (или) душевые, туалет (уборную) или совмещенный санузел, переднюю. </w:t>
            </w:r>
            <w:r/>
          </w:p>
          <w:p>
            <w:pPr>
              <w:pStyle w:val="686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ласно пункту 6.1 СП 55.13330.2016 площади помещений строящихся и реконструируемых жилых домов должны быть </w:t>
              <w:br/>
              <w:t xml:space="preserve">не менее: общей комнаты в однокомнатном доме - 14 м2, общей комнаты в доме с числом комнат две и более - 16 м2, </w:t>
              <w:br/>
              <w:t xml:space="preserve">спальни - 8 м2 (на двух человек - 10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м2); кухни - 8 м2; кухонной зоны в кухне-столовой - 6 м2. В домах с одной комнатой допускается проектировать кухни или кухни-ниши площадью не менее 5 м2. Площадь спальни и кухни в мансардном этаже (или этаже с наклонными ограждающими конструкциями) допуска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ется не менее 7 м2 при условии, что общая жилая комната имеет площадь не менее 16 м2.</w:t>
            </w:r>
            <w:r/>
          </w:p>
          <w:p>
            <w:pPr>
              <w:pStyle w:val="686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огласно пункту 6.2 СП 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2,5 м. Высота внутридомовых коридоров, холлов, передних, антресолей должна составлять не менее 2,1 м, а высота пути эвакуации - не менее 2,2 м.</w:t>
            </w:r>
            <w:r/>
          </w:p>
          <w:p>
            <w:pPr>
              <w:pStyle w:val="686"/>
              <w:ind w:firstLine="311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жилых комнатах и кухнях, расположенных </w:t>
              <w:br/>
              <w:t xml:space="preserve">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  <w:r/>
          </w:p>
          <w:p>
            <w:pPr>
              <w:ind w:firstLine="340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информации, содержащейся в </w:t>
            </w:r>
            <w:r>
              <w:rPr>
                <w:rFonts w:ascii="Times New Roman" w:hAnsi="Times New Roman"/>
                <w:sz w:val="24"/>
              </w:rPr>
              <w:t xml:space="preserve">ГПЗУ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13.02</w:t>
            </w:r>
            <w:r>
              <w:rPr>
                <w:rFonts w:ascii="Times New Roman" w:hAnsi="Times New Roman"/>
                <w:sz w:val="24"/>
              </w:rPr>
              <w:t xml:space="preserve">.2025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№</w:t>
            </w:r>
            <w:r>
              <w:rPr>
                <w:rFonts w:ascii="Times New Roman" w:hAnsi="Times New Roman"/>
                <w:sz w:val="24"/>
              </w:rPr>
              <w:t xml:space="preserve"> РФ-59-2-03-0-00-2025-0284</w:t>
            </w:r>
            <w:r>
              <w:rPr>
                <w:rFonts w:ascii="Times New Roman" w:hAnsi="Times New Roman"/>
                <w:sz w:val="24"/>
              </w:rPr>
              <w:t xml:space="preserve">-0</w:t>
            </w:r>
            <w:r>
              <w:rPr>
                <w:rFonts w:ascii="Times New Roman" w:hAnsi="Times New Roman"/>
                <w:sz w:val="24"/>
              </w:rPr>
              <w:t xml:space="preserve">, пред</w:t>
            </w:r>
            <w:r>
              <w:rPr>
                <w:rFonts w:ascii="Times New Roman" w:hAnsi="Times New Roman"/>
                <w:sz w:val="24"/>
              </w:rPr>
              <w:t xml:space="preserve">ельная высота зданий, строений </w:t>
            </w:r>
            <w:r>
              <w:rPr>
                <w:rFonts w:ascii="Times New Roman" w:hAnsi="Times New Roman"/>
                <w:sz w:val="24"/>
              </w:rPr>
              <w:t xml:space="preserve">не более 10,5 м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firstLine="340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Минимальный отступ от границ Участка </w:t>
            </w:r>
            <w:r>
              <w:rPr>
                <w:rFonts w:ascii="Times New Roman" w:hAnsi="Times New Roman"/>
                <w:sz w:val="24"/>
              </w:rPr>
              <w:t xml:space="preserve">до места</w:t>
            </w:r>
            <w:r>
              <w:rPr>
                <w:rFonts w:ascii="Times New Roman" w:hAnsi="Times New Roman"/>
                <w:sz w:val="24"/>
              </w:rPr>
              <w:t xml:space="preserve"> допустим</w:t>
            </w:r>
            <w:r>
              <w:rPr>
                <w:rFonts w:ascii="Times New Roman" w:hAnsi="Times New Roman"/>
                <w:sz w:val="24"/>
              </w:rPr>
              <w:t xml:space="preserve">ого размещения зданий, строений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</w:t>
            </w:r>
            <w:r>
              <w:rPr>
                <w:rFonts w:ascii="Times New Roman" w:hAnsi="Times New Roman"/>
                <w:sz w:val="24"/>
              </w:rPr>
              <w:t xml:space="preserve"> 3 м.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firstLine="340"/>
              <w:jc w:val="both"/>
              <w:spacing w:after="0" w:line="240" w:lineRule="auto"/>
              <w:tabs>
                <w:tab w:val="right" w:pos="600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</w:t>
            </w:r>
            <w:r>
              <w:rPr>
                <w:rFonts w:ascii="Times New Roman" w:hAnsi="Times New Roman"/>
                <w:sz w:val="24"/>
              </w:rPr>
              <w:t xml:space="preserve">В случаях, когда линия регулирования застройки отличается </w:t>
            </w:r>
            <w:r>
              <w:rPr>
                <w:rFonts w:ascii="Times New Roman" w:hAnsi="Times New Roman"/>
                <w:sz w:val="24"/>
              </w:rPr>
              <w:t xml:space="preserve">от красной линии, указанный выступ может быть произведен </w:t>
            </w:r>
            <w:r>
              <w:rPr>
                <w:rFonts w:ascii="Times New Roman" w:hAnsi="Times New Roman"/>
                <w:sz w:val="24"/>
              </w:rPr>
              <w:t xml:space="preserve">за линию регулирования застройки.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Максимальный процент застройки в границах Участка – 30%.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vMerge w:val="continue"/>
            <w:textDirection w:val="lrTb"/>
            <w:noWrap w:val="false"/>
          </w:tcPr>
          <w:p>
            <w:pPr>
              <w:pStyle w:val="68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numPr>
                <w:ilvl w:val="0"/>
                <w:numId w:val="2"/>
              </w:numPr>
              <w:ind w:left="52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1" w:tooltip="http://www.gorodperm.ru/" w:history="1">
              <w:r>
                <w:rPr>
                  <w:rStyle w:val="769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sz w:val="24"/>
              </w:rPr>
              <w:t xml:space="preserve">О наличии технической возможности технологического присоединения </w:t>
            </w:r>
            <w:r>
              <w:rPr>
                <w:rFonts w:ascii="Times New Roman" w:hAnsi="Times New Roman"/>
                <w:sz w:val="24"/>
              </w:rPr>
              <w:t xml:space="preserve">энергопринимающего</w:t>
            </w:r>
            <w:r>
              <w:rPr>
                <w:rFonts w:ascii="Times New Roman" w:hAnsi="Times New Roman"/>
                <w:sz w:val="24"/>
              </w:rPr>
              <w:t xml:space="preserve"> устройства объекта </w:t>
              <w:br/>
            </w:r>
            <w:r>
              <w:rPr>
                <w:rFonts w:ascii="Times New Roman" w:hAnsi="Times New Roman"/>
                <w:sz w:val="24"/>
              </w:rPr>
              <w:t xml:space="preserve">с предполагаемым </w:t>
            </w:r>
            <w:r>
              <w:rPr>
                <w:rFonts w:ascii="Times New Roman" w:hAnsi="Times New Roman"/>
                <w:sz w:val="24"/>
              </w:rPr>
              <w:t xml:space="preserve">электоропотреблением</w:t>
            </w:r>
            <w:r>
              <w:rPr>
                <w:rFonts w:ascii="Times New Roman" w:hAnsi="Times New Roman"/>
                <w:sz w:val="24"/>
              </w:rPr>
              <w:t xml:space="preserve"> 15 кВт сообщается следующее.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с «Правилами технологического присоединения </w:t>
            </w:r>
            <w:r>
              <w:rPr>
                <w:rFonts w:ascii="Times New Roman" w:hAnsi="Times New Roman"/>
                <w:sz w:val="24"/>
              </w:rPr>
              <w:t xml:space="preserve">энергопринимающих</w:t>
            </w:r>
            <w:r>
              <w:rPr>
                <w:rFonts w:ascii="Times New Roman" w:hAnsi="Times New Roman"/>
                <w:sz w:val="24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</w:t>
            </w:r>
            <w:r>
              <w:rPr>
                <w:rFonts w:ascii="Times New Roman" w:hAnsi="Times New Roman"/>
                <w:sz w:val="24"/>
              </w:rPr>
              <w:t xml:space="preserve">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в составе договора о технологическом присоединении.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Плата за технологическое присоединение </w:t>
            </w:r>
            <w:r>
              <w:rPr>
                <w:rFonts w:ascii="Times New Roman" w:hAnsi="Times New Roman"/>
                <w:sz w:val="24"/>
              </w:rPr>
              <w:t xml:space="preserve">энергопринимающих</w:t>
            </w:r>
            <w:r>
              <w:rPr>
                <w:rFonts w:ascii="Times New Roman" w:hAnsi="Times New Roman"/>
                <w:sz w:val="24"/>
              </w:rPr>
              <w:t xml:space="preserve"> устройств устанавливается исходя </w:t>
              <w:br/>
              <w:t xml:space="preserve">из стоимости мероприятий </w:t>
            </w:r>
            <w:r>
              <w:rPr>
                <w:rFonts w:ascii="Times New Roman" w:hAnsi="Times New Roman"/>
                <w:sz w:val="24"/>
              </w:rPr>
              <w:t xml:space="preserve">по технологическому присоединению,  размер платы определяется </w:t>
            </w:r>
            <w:r>
              <w:rPr>
                <w:rFonts w:ascii="Times New Roman" w:hAnsi="Times New Roman"/>
                <w:sz w:val="24"/>
              </w:rPr>
              <w:br/>
              <w:t xml:space="preserve">по утвержденным тарифам согласно постановлению РСТ Пермского края от 23.11.2023 № 121-тп (в последней редакции).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Электроснабжение </w:t>
            </w:r>
            <w:r>
              <w:rPr>
                <w:rFonts w:ascii="Times New Roman" w:hAnsi="Times New Roman"/>
                <w:sz w:val="24"/>
              </w:rPr>
              <w:t xml:space="preserve">объекта</w:t>
            </w:r>
            <w:r>
              <w:rPr>
                <w:rFonts w:ascii="Times New Roman" w:hAnsi="Times New Roman"/>
                <w:sz w:val="24"/>
              </w:rPr>
              <w:t xml:space="preserve"> возможно будет осуществить </w:t>
            </w:r>
            <w:r>
              <w:rPr>
                <w:rFonts w:ascii="Times New Roman" w:hAnsi="Times New Roman"/>
                <w:sz w:val="24"/>
              </w:rPr>
              <w:t xml:space="preserve">при условии строительства питающей линии электропередачи </w:t>
            </w:r>
            <w:r>
              <w:rPr>
                <w:rFonts w:ascii="Times New Roman" w:hAnsi="Times New Roman"/>
                <w:sz w:val="24"/>
              </w:rPr>
              <w:t xml:space="preserve">0,4 </w:t>
            </w:r>
            <w:r>
              <w:rPr>
                <w:rFonts w:ascii="Times New Roman" w:hAnsi="Times New Roman"/>
                <w:sz w:val="24"/>
              </w:rPr>
              <w:t xml:space="preserve">кВ</w:t>
            </w:r>
            <w:r>
              <w:rPr>
                <w:rFonts w:ascii="Times New Roman" w:hAnsi="Times New Roman"/>
                <w:sz w:val="24"/>
              </w:rPr>
              <w:t xml:space="preserve"> на основании договора об осуществлении технологического присоединения объекта к электрическим сетям филиала «Пермэнерго».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sz w:val="24"/>
                <w:szCs w:val="24"/>
              </w:rPr>
              <w:t xml:space="preserve">ф</w:t>
            </w:r>
            <w:r>
              <w:rPr>
                <w:b/>
                <w:sz w:val="24"/>
                <w:szCs w:val="24"/>
              </w:rPr>
              <w:t xml:space="preserve">илиала ПАО «Россети Урал» - «Пермэнерго»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06.02.2025</w:t>
            </w:r>
            <w:r>
              <w:rPr>
                <w:rFonts w:ascii="Times New Roman" w:hAnsi="Times New Roman"/>
                <w:sz w:val="24"/>
              </w:rPr>
              <w:t xml:space="preserve"> </w:t>
              <w:br/>
              <w:t xml:space="preserve">№ ПЭ/</w:t>
            </w:r>
            <w:r>
              <w:rPr>
                <w:rFonts w:ascii="Times New Roman" w:hAnsi="Times New Roman"/>
                <w:sz w:val="24"/>
              </w:rPr>
              <w:t xml:space="preserve">ПГЭС/01/22/1328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/час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 существующим сетям газораспределения имеется.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АО «Газпром газораспределение Пермь»</w:t>
            </w:r>
            <w:r>
              <w:rPr>
                <w:sz w:val="24"/>
                <w:szCs w:val="24"/>
              </w:rPr>
              <w:t xml:space="preserve"> от 04.02.2025 № ПФ-674).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наличии технической возможности подключения объе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кта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планируемой величиной подключаемой нагрузки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водоснабжению </w:t>
              <w:br/>
              <w:t xml:space="preserve">и водоотведению – 1,0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централизованным системам водоснабжения и водоотведения,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так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предоставлении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информации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наличии сетей водопровода</w:t>
            </w:r>
            <w:r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канализации</w:t>
            </w:r>
            <w:r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границах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указанного земельного участка, с указанием </w:t>
              <w:br/>
              <w:t xml:space="preserve">их охранной зоны, сообщается следующее.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Ближайшие сети водоснабжения,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эксплуатируемые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ООО «НОВОГОР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располагаются по ул. Борцов Революции, ориентировочно на расстоянии – более 2 км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Участка.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Ближайшие сети водоотведения,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эксплуатируемые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ООО «НОВОГОР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располагаются в районе зданий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ул. Борцов Революции, ориентировочно </w:t>
              <w:br/>
              <w:t xml:space="preserve">на расстоянии –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км от Участка.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проектировании может быть применен альтернативный способ водоснабжения без подключения к централизованной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системе водоснабжения (от скважины) и альтернативный способ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канализования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без подключения к централизованной системе канализации г. Перми (отвод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стоков </w:t>
              <w:br/>
              <w:t xml:space="preserve">на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окальные очистные сооружения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канализование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объекта </w:t>
              <w:br/>
              <w:t xml:space="preserve">в выгребную яму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 последующим вывозом стоков спец. м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ашинами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который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должен соответствовать всем нормативным требованиям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  <w:br/>
            </w:r>
            <w:r>
              <w:rPr>
                <w:b/>
                <w:sz w:val="24"/>
                <w:szCs w:val="24"/>
              </w:rPr>
              <w:t xml:space="preserve">ООО «НОВОГОР-Прикамье»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03.02.2025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110-</w:t>
            </w:r>
            <w:r>
              <w:rPr>
                <w:sz w:val="24"/>
                <w:szCs w:val="24"/>
              </w:rPr>
              <w:t xml:space="preserve">1341).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расположен вне зоны теплоснабжения ПАО                «Т Плюс».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sz w:val="24"/>
                <w:szCs w:val="24"/>
              </w:rPr>
              <w:t xml:space="preserve">Филиала «Пермский ПАО «Т Плюс»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10.02.2025 № 51000-32-00382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возможность подключения к сетям теплоснабжения отсутствует. Рекомендовано рассмотреть альтернативный источник теплоснабжения – газ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дрова,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пеллеты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sz w:val="24"/>
                <w:szCs w:val="24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19.03.2025 059-04-25/3-42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-ри</w:t>
            </w:r>
            <w:r>
              <w:rPr>
                <w:sz w:val="24"/>
                <w:szCs w:val="24"/>
              </w:rPr>
              <w:t xml:space="preserve"> 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Технологическое присоединение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сетям связи </w:t>
              <w:br/>
              <w:t xml:space="preserve">ПАО «Ростелеком» планир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уемых к строительству объектов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границах Участка может быть произведено в точке подключения узел ВОЛС (г. Пермь, ул. Попова, 17), максимальную нагрузку в точке подключения (технологического присоединения) определить </w:t>
              <w:br/>
              <w:t xml:space="preserve">на стадии проектирования.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(Аналогичная информация отражена в письме  </w:t>
              <w:br/>
            </w:r>
            <w:r>
              <w:rPr>
                <w:b/>
                <w:sz w:val="24"/>
                <w:szCs w:val="24"/>
              </w:rPr>
              <w:t xml:space="preserve">ПАО «Ростелеком»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06.02.2025 от 01/05/17982/25</w:t>
            </w:r>
            <w:r>
              <w:rPr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территории, где расположен Участок,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схемами водоснабжения и водоотведения города Перми, утвержденными постановлением администрации города Перми </w:t>
              <w:br/>
              <w:t xml:space="preserve">от 28.12.2018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1085, на период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2028 года </w:t>
              <w:br/>
              <w:t xml:space="preserve">не предусмотрено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строительство сетей водоснабжения </w:t>
              <w:br/>
              <w:t xml:space="preserve">и водоотведения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firstLine="34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рамках муниципальной программы Развитие системы жилищно-комм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унального хозяйства в г. Перми»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реализовано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«Строительство сетей водоснабжения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микрорайоне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Средняя Курья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ул. Борцов Революции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Перми».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86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11.02.2025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059-04-17/3-115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-ри</w:t>
            </w:r>
            <w:r>
              <w:rPr>
                <w:color w:val="000000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Начальная цена предмета аукциона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6"/>
              <w:ind w:left="113" w:right="57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b/>
                <w:sz w:val="24"/>
                <w:szCs w:val="24"/>
                <w:shd w:val="clear" w:color="auto" w:fill="auto"/>
              </w:rPr>
              <w:t xml:space="preserve">(рыночная стоимость земельного участка)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6"/>
              <w:ind w:left="0" w:right="0" w:firstLine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86"/>
              <w:ind w:left="0" w:right="0" w:firstLine="0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24"/>
              </w:rPr>
              <w:t xml:space="preserve">По условиям пункта 4.1 проекта договора купли-продажи земельного участка, приобретаемого на торгах в форме аукциона, для строительства (Приложение 3 к настоящему извещению),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686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победитель аукциона, иное лицо, с которым договор заключается в соответствии с п.13, п.14, п. 20 или п. 25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6"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в течение 15 дней</w:t>
            </w:r>
            <w:r>
              <w:rPr>
                <w:sz w:val="24"/>
                <w:szCs w:val="24"/>
                <w:shd w:val="clear" w:color="auto" w:fill="auto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val="clear" w:color="auto" w:fill="auto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val="clear" w:color="auto" w:fill="auto"/>
              </w:rPr>
              <w:t xml:space="preserve"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договоров).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4 846 000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«Шаг аукциона» (5%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242 300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Форма заявки на участие в аукционе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размещена на сайтах www.torgi.gov.ru, www.gorodperm.ru (раздел Деятельность/ Муниципальная собственность/ Торговая площадка/ Вид торгов Продажа </w:t>
              <w:br/>
              <w:t xml:space="preserve">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и принимается одновременно с полным пакетом документов, требуемых для участия в аукционе. </w:t>
              <w:br/>
              <w:t xml:space="preserve">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Размер задатка (50% от начальной цены предмета аукциона)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  <w:r>
              <w:rPr>
                <w:sz w:val="24"/>
                <w:szCs w:val="24"/>
                <w:highlight w:val="none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2 423 000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rStyle w:val="776"/>
                <w:b w:val="0"/>
                <w:bCs w:val="0"/>
                <w:sz w:val="24"/>
                <w:szCs w:val="24"/>
                <w:highlight w:val="none"/>
                <w:shd w:val="clear" w:color="auto" w:fill="auto"/>
                <w:lang w:val="en-US" w:eastAsia="en-US"/>
              </w:rPr>
            </w:pPr>
            <w:r>
              <w:rPr>
                <w:sz w:val="24"/>
                <w:szCs w:val="24"/>
                <w:shd w:val="clear" w:color="auto" w:fill="auto"/>
              </w:rPr>
              <w:t xml:space="preserve">Дата </w:t>
            </w:r>
            <w:r>
              <w:rPr>
                <w:b w:val="0"/>
                <w:shd w:val="clear" w:color="auto" w:fill="auto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0"/>
                <w:sz w:val="24"/>
                <w:szCs w:val="24"/>
                <w:shd w:val="clear" w:color="auto" w:fill="auto"/>
                <w:lang w:val="en-US" w:eastAsia="en-US"/>
              </w:rPr>
              <w:t xml:space="preserve">сайтах www.torgi.gov.ru, </w:t>
            </w:r>
            <w:hyperlink r:id="rId22" w:tooltip="http://www.gorodperm.ru" w:history="1">
              <w:r>
                <w:rPr>
                  <w:rStyle w:val="776"/>
                  <w:b w:val="0"/>
                  <w:sz w:val="24"/>
                  <w:szCs w:val="24"/>
                  <w:shd w:val="clear" w:color="auto" w:fill="auto"/>
                  <w:lang w:val="en-US" w:eastAsia="en-US"/>
                </w:rPr>
                <w:t xml:space="preserve">www.gorodperm.ru</w:t>
              </w:r>
              <w:r>
                <w:rPr>
                  <w:rStyle w:val="776"/>
                  <w:highlight w:val="none"/>
                  <w:shd w:val="clear" w:color="auto" w:fill="auto"/>
                </w:rPr>
              </w:r>
              <w:r>
                <w:rPr>
                  <w:rStyle w:val="776"/>
                  <w:b w:val="0"/>
                  <w:bCs w:val="0"/>
                  <w:sz w:val="24"/>
                  <w:szCs w:val="24"/>
                  <w:highlight w:val="none"/>
                  <w:shd w:val="clear" w:color="auto" w:fill="auto"/>
                  <w:lang w:val="en-US" w:eastAsia="en-US"/>
                </w:rPr>
              </w:r>
            </w:hyperlink>
            <w:r>
              <w:rPr>
                <w:rStyle w:val="776"/>
                <w:b w:val="0"/>
                <w:bCs w:val="0"/>
                <w:sz w:val="24"/>
                <w:szCs w:val="24"/>
                <w:highlight w:val="none"/>
                <w:shd w:val="clear" w:color="auto" w:fill="auto"/>
                <w:lang w:val="en-US" w:eastAsia="en-US"/>
              </w:rPr>
            </w:r>
            <w:r>
              <w:rPr>
                <w:rStyle w:val="776"/>
                <w:b w:val="0"/>
                <w:bCs w:val="0"/>
                <w:sz w:val="24"/>
                <w:szCs w:val="24"/>
                <w:highlight w:val="none"/>
                <w:shd w:val="clear" w:color="auto" w:fill="auto"/>
                <w:lang w:val="en-US" w:eastAsia="en-US"/>
              </w:rPr>
            </w:r>
          </w:p>
          <w:p>
            <w:pPr>
              <w:ind w:left="113" w:right="113" w:firstLine="0"/>
              <w:jc w:val="left"/>
              <w:spacing w:before="0" w:after="0"/>
              <w:widowControl/>
              <w:rPr>
                <w:highlight w:val="none"/>
                <w:lang w:val="en-US" w:eastAsia="en-US"/>
              </w:rPr>
            </w:pPr>
            <w:r>
              <w:rPr>
                <w:b w:val="0"/>
                <w:sz w:val="24"/>
                <w:szCs w:val="24"/>
                <w:highlight w:val="none"/>
                <w:shd w:val="clear" w:color="auto" w:fill="auto"/>
                <w:lang w:val="en-US" w:eastAsia="en-US"/>
              </w:rPr>
            </w:r>
            <w:r>
              <w:rPr>
                <w:highlight w:val="none"/>
                <w:lang w:val="en-US" w:eastAsia="en-US"/>
              </w:rPr>
            </w:r>
            <w:r>
              <w:rPr>
                <w:highlight w:val="none"/>
                <w:lang w:val="en-US"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купли-продажи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3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 xml:space="preserve"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" w:type="dxa"/>
            <w:textDirection w:val="lrTb"/>
            <w:noWrap w:val="false"/>
          </w:tcPr>
          <w:p>
            <w:pPr>
              <w:pStyle w:val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686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4" w:type="dxa"/>
            <w:textDirection w:val="lrTb"/>
            <w:noWrap w:val="false"/>
          </w:tcPr>
          <w:p>
            <w:pPr>
              <w:pStyle w:val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86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686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bookmarkStart w:id="1" w:name="_GoBack"/>
      <w:r/>
      <w:bookmarkEnd w:id="1"/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686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6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 02.07.2025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по местному времени (7:00 МСК).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29.07.2025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30.07.2025.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 xml:space="preserve">от участников аукциона) – 31.07</w:t>
      </w:r>
      <w:r>
        <w:rPr>
          <w:rFonts w:eastAsia="Courier New"/>
          <w:b/>
          <w:lang w:bidi="ru-RU"/>
        </w:rPr>
        <w:t xml:space="preserve">.2025</w:t>
      </w:r>
      <w:r>
        <w:rPr>
          <w:rFonts w:eastAsia="Courier New"/>
          <w:lang w:bidi="ru-RU"/>
        </w:rPr>
        <w:t xml:space="preserve"> в 09:00 по местному времени (07:00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86"/>
        <w:ind w:left="-567" w:firstLine="709"/>
        <w:jc w:val="both"/>
        <w:widowControl w:val="off"/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686"/>
        <w:jc w:val="both"/>
        <w:widowControl w:val="off"/>
      </w:pPr>
      <w:r/>
      <w:r/>
    </w:p>
    <w:p>
      <w:pPr>
        <w:pStyle w:val="686"/>
        <w:ind w:left="-567" w:firstLine="709"/>
        <w:jc w:val="center"/>
        <w:widowControl w:val="off"/>
        <w:rPr>
          <w:b/>
        </w:rPr>
      </w:pPr>
      <w:r>
        <w:rPr>
          <w:b/>
        </w:rPr>
        <w:t xml:space="preserve">Плата оператору электронной площадки за участие в электронном аукционе</w:t>
      </w:r>
      <w:r>
        <w:rPr>
          <w:b/>
        </w:rPr>
      </w:r>
      <w:r>
        <w:rPr>
          <w:b/>
        </w:rPr>
      </w:r>
    </w:p>
    <w:p>
      <w:pPr>
        <w:pStyle w:val="686"/>
        <w:ind w:left="-567"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86"/>
        <w:ind w:left="-567" w:firstLine="709"/>
        <w:jc w:val="both"/>
        <w:widowControl w:val="off"/>
      </w:pPr>
      <w:r>
        <w:t xml:space="preserve">В соответствии с постановлением Правительства Российской Федерации от 10 мая 2018 г. </w:t>
      </w:r>
      <w:r>
        <w:br w:type="textWrapping" w:clear="all"/>
      </w:r>
      <w:r>
        <w:t xml:space="preserve"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</w:t>
      </w:r>
      <w:r>
        <w:t xml:space="preserve">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</w:t>
      </w:r>
      <w:r>
        <w:t xml:space="preserve">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  <w:r/>
    </w:p>
    <w:p>
      <w:pPr>
        <w:pStyle w:val="686"/>
        <w:ind w:left="-567" w:firstLine="709"/>
        <w:jc w:val="both"/>
        <w:widowControl w:val="off"/>
      </w:pPr>
      <w:r>
        <w:t xml:space="preserve">По информации оператора электронной площадки АО «Сбербанк-АСТ» в настоящее время взимание платы не установлено.</w:t>
      </w:r>
      <w:r/>
    </w:p>
    <w:p>
      <w:pPr>
        <w:pStyle w:val="686"/>
        <w:ind w:left="-567" w:firstLine="709"/>
        <w:jc w:val="both"/>
        <w:widowControl w:val="off"/>
      </w:pPr>
      <w:r/>
      <w:r/>
    </w:p>
    <w:p>
      <w:pPr>
        <w:pStyle w:val="686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86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</w:t>
      </w:r>
      <w:r>
        <w:rPr>
          <w:bCs/>
          <w:lang w:bidi="ru-RU"/>
        </w:rPr>
        <w:t xml:space="preserve">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 xml:space="preserve">на лицевом счете заявителя и осуществляет блокирование необходимой денежной суммы.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86"/>
        <w:ind w:left="-567" w:firstLine="567"/>
        <w:jc w:val="both"/>
        <w:widowControl w:val="off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23" w:tooltip="http://utp.sberbank-ast.ru/AP/Notice/653/Requisites" w:history="1">
        <w:r>
          <w:rPr>
            <w:rStyle w:val="769"/>
            <w:b/>
            <w:bCs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6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Получатель: АО «Сбербанк-АСТ»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6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6"/>
        <w:spacing w:line="240" w:lineRule="exact"/>
      </w:pPr>
      <w:r>
        <w:rPr>
          <w:rFonts w:eastAsia="Calibri"/>
          <w:bCs/>
          <w:lang w:eastAsia="en-US"/>
        </w:rPr>
        <w:t xml:space="preserve">Банк получателя: ПАО «СБЕРБАНК РОССИИ» Г. МОСКВА</w:t>
      </w:r>
      <w:r/>
    </w:p>
    <w:p>
      <w:pPr>
        <w:pStyle w:val="686"/>
        <w:spacing w:line="240" w:lineRule="exact"/>
        <w:rPr>
          <w:rFonts w:eastAsia="Calibri"/>
          <w:bCs/>
          <w:lang w:eastAsia="en-US"/>
        </w:rPr>
      </w:pPr>
      <w:r>
        <w:t xml:space="preserve">Расчетный счет: </w:t>
      </w:r>
      <w:r>
        <w:rPr>
          <w:rFonts w:eastAsia="Calibri"/>
          <w:bCs/>
          <w:lang w:eastAsia="en-US"/>
        </w:rPr>
        <w:t xml:space="preserve">40702810300020038047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6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БИК: 044525225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86"/>
        <w:spacing w:line="240" w:lineRule="exact"/>
        <w:rPr>
          <w:bCs/>
          <w:lang w:bidi="ru-RU"/>
        </w:rPr>
      </w:pPr>
      <w:r>
        <w:rPr>
          <w:rFonts w:eastAsia="Calibri"/>
          <w:bCs/>
          <w:lang w:eastAsia="en-US"/>
        </w:rPr>
        <w:t xml:space="preserve">Корреспондентский счет: 30101810400000000225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ind w:left="-567" w:firstLine="567"/>
        <w:jc w:val="both"/>
        <w:widowControl w:val="off"/>
        <w:rPr>
          <w:b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Задаток по лоту  № ___, ИНН плательщика. НДС не облагается.</w:t>
      </w:r>
      <w:r>
        <w:rPr>
          <w:b/>
        </w:rPr>
      </w:r>
      <w:r>
        <w:rPr>
          <w:b/>
        </w:rPr>
      </w:r>
    </w:p>
    <w:p>
      <w:pPr>
        <w:pStyle w:val="686"/>
        <w:ind w:left="-567" w:firstLine="567"/>
        <w:jc w:val="both"/>
        <w:widowControl w:val="off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 xml:space="preserve"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 xml:space="preserve">c 02.07.2025 по 29.07.2025.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86"/>
        <w:ind w:left="-567" w:firstLine="709"/>
        <w:jc w:val="center"/>
        <w:widowControl w:val="off"/>
        <w:rPr>
          <w:b/>
          <w:lang w:bidi="ru-RU"/>
        </w:rPr>
      </w:pPr>
      <w:r>
        <w:rPr>
          <w:b/>
          <w:lang w:bidi="ru-RU"/>
        </w:rPr>
        <w:t xml:space="preserve">Порядок возврата задатка:</w:t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86"/>
        <w:ind w:left="-567" w:firstLine="709"/>
        <w:jc w:val="both"/>
        <w:widowControl w:val="off"/>
        <w:rPr>
          <w:b/>
          <w:lang w:bidi="ru-RU"/>
        </w:rPr>
      </w:pPr>
      <w:r>
        <w:rPr>
          <w:b/>
          <w:lang w:bidi="ru-RU"/>
        </w:rPr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lang w:bidi="ru-RU"/>
        </w:rPr>
      </w:pPr>
      <w:r>
        <w:rPr>
          <w:bCs/>
          <w:lang w:bidi="ru-RU"/>
        </w:rPr>
        <w:t xml:space="preserve">Задаток возвращается лицам, участвовавшим в аукционе, но не победившим в нем, в течение трех ра</w:t>
      </w:r>
      <w:r>
        <w:rPr>
          <w:bCs/>
          <w:shd w:val="clear" w:color="auto" w:fill="auto"/>
          <w:lang w:bidi="ru-RU"/>
        </w:rPr>
        <w:t xml:space="preserve">бочих дней со дня подписания протокола о результатах аукциона, </w:t>
      </w:r>
      <w:r>
        <w:rPr>
          <w:b w:val="0"/>
          <w:bCs/>
          <w:shd w:val="clear" w:color="auto" w:fill="auto"/>
          <w:lang w:bidi="ru-RU"/>
        </w:rPr>
        <w:t xml:space="preserve"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земельного участка.</w:t>
      </w:r>
      <w:r>
        <w:rPr>
          <w:lang w:bidi="ru-RU"/>
        </w:rPr>
      </w:r>
      <w:r>
        <w:rPr>
          <w:lang w:bidi="ru-RU"/>
        </w:rPr>
      </w:r>
    </w:p>
    <w:p>
      <w:pPr>
        <w:pStyle w:val="686"/>
        <w:contextualSpacing/>
        <w:ind w:left="-567" w:firstLine="567"/>
        <w:jc w:val="both"/>
        <w:spacing w:before="0" w:after="0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</w:t>
      </w:r>
      <w:r>
        <w:rPr>
          <w:shd w:val="clear" w:color="auto" w:fill="auto"/>
          <w:lang w:bidi="ru-RU"/>
        </w:rPr>
        <w:t xml:space="preserve">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0"/>
          <w:shd w:val="clear" w:color="auto" w:fill="auto"/>
          <w:lang w:bidi="ru-RU"/>
        </w:rPr>
        <w:t xml:space="preserve">участника аукциона, который сделал предпоследнее предложение о цене предмета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установленные сроки формирует поручение Оператору: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- о</w:t>
      </w:r>
      <w:r>
        <w:rPr>
          <w:shd w:val="clear" w:color="auto" w:fill="auto"/>
          <w:lang w:bidi="ru-RU"/>
        </w:rPr>
        <w:t xml:space="preserve">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пунктами 13, 14, 20 или 25 ст. 39.12 Земельного кодекса Российской Федерации, засчиты</w:t>
      </w:r>
      <w:r>
        <w:rPr>
          <w:bCs/>
          <w:shd w:val="clear" w:color="auto" w:fill="auto"/>
          <w:lang w:bidi="ru-RU"/>
        </w:rPr>
        <w:t xml:space="preserve">ваются в оплату приобретаемого земельного участка.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указанного договора, не возвращаются.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86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вправе: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center"/>
        <w:widowControl w:val="off"/>
        <w:rPr>
          <w:rFonts w:eastAsia="Courier New"/>
          <w:highlight w:val="none"/>
          <w:shd w:val="clear" w:color="auto" w:fill="auto"/>
          <w:lang w:bidi="ru-RU"/>
        </w:rPr>
      </w:pPr>
      <w:r>
        <w:rPr>
          <w:rFonts w:eastAsia="Courier New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</w:p>
    <w:p>
      <w:pPr>
        <w:pStyle w:val="779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Не позднее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79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за один рабочий день до даты окончания приема заявок на участие в аукционе не поступило ни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</w:pPr>
      <w:r>
        <w:rPr>
          <w:shd w:val="clear" w:color="auto" w:fill="auto"/>
        </w:rPr>
        <w:t xml:space="preserve">В соответствии с п. 4 ст. 448 Гражданского кодекса Российской Федерации отказаться </w:t>
      </w:r>
      <w:r>
        <w:br w:type="textWrapping" w:clear="all"/>
      </w:r>
      <w:r>
        <w:t xml:space="preserve">от проведения аукциона в любое время, но не позднее чем за три дня до наступления даты </w:t>
      </w:r>
      <w:r>
        <w:br w:type="textWrapping" w:clear="all"/>
      </w:r>
      <w:r>
        <w:t xml:space="preserve">его проведения, указанной в извещении </w:t>
      </w:r>
      <w:r>
        <w:rPr>
          <w:shd w:val="clear" w:color="auto" w:fill="auto"/>
        </w:rPr>
        <w:t xml:space="preserve">о проведении аукциона. </w:t>
      </w:r>
      <w:r/>
    </w:p>
    <w:p>
      <w:pPr>
        <w:pStyle w:val="686"/>
        <w:jc w:val="center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обязан: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shd w:val="clear" w:color="auto" w:fill="auto"/>
        </w:rPr>
      </w:pPr>
      <w:r>
        <w:rPr>
          <w:shd w:val="clear" w:color="auto" w:fill="auto"/>
        </w:rPr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 </w:t>
      </w:r>
      <w:r>
        <w:rPr>
          <w:shd w:val="clear" w:color="auto" w:fill="auto"/>
        </w:rPr>
        <w:t xml:space="preserve"> и на электронной площадке в течение трех дней со дня принятия данного решения.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случае отказа от проведения аукциона организатором (в т. ч. одного или нескольких лотов),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rFonts w:eastAsia="Courier New"/>
          <w:b/>
          <w:shd w:val="clear" w:color="auto" w:fill="auto"/>
          <w:lang w:bidi="ru-RU"/>
        </w:rPr>
        <w:t xml:space="preserve">Порядок регистрации на электронной площадке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709"/>
        <w:jc w:val="both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Регистрация на электронной площадке проводится в соответствии с регламентом электронной площадки.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02.07.2025 по 29.07.2025 с 9.00 до 18.00 по местному времени (7:00 – 16:00 МСК).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16"/>
        <w:jc w:val="center"/>
        <w:rPr>
          <w:highlight w:val="none"/>
          <w:shd w:val="clear" w:color="auto" w:fill="auto"/>
        </w:rPr>
      </w:pPr>
      <w:r>
        <w:rPr>
          <w:b/>
          <w:color w:val="000000"/>
          <w:shd w:val="clear" w:color="auto" w:fill="auto"/>
        </w:rPr>
        <w:t xml:space="preserve">Разъяснение положений извещения о проведении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3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</w:t>
      </w:r>
      <w:r>
        <w:rPr>
          <w:bCs/>
          <w:shd w:val="clear" w:color="auto" w:fill="auto"/>
          <w:lang w:bidi="ru-RU"/>
        </w:rPr>
        <w:t xml:space="preserve">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 xml:space="preserve">не рассматриваются.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3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709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86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Требования к содержанию и составу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shd w:val="clear" w:color="auto" w:fill="auto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Courier New"/>
          <w:shd w:val="clear" w:color="auto" w:fill="auto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val="clear" w:color="auto" w:fill="auto"/>
          <w:lang w:bidi="ru-RU"/>
        </w:rPr>
        <w:br w:type="textWrapping" w:clear="all"/>
      </w:r>
      <w:r>
        <w:rPr>
          <w:rFonts w:eastAsia="Courier New"/>
          <w:shd w:val="clear" w:color="auto" w:fill="auto"/>
          <w:lang w:bidi="ru-RU"/>
        </w:rPr>
        <w:t xml:space="preserve">о проведении аукциона срок следующие документы: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копии документов, удостоверяющих личность заявителя (для граждан), всех страниц;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4) документы, подтверждающие внесение задатка.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86"/>
        <w:ind w:firstLine="708"/>
        <w:jc w:val="center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Инструкция по заполнению и подаче заявки, порядок приема заявки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firstLine="708"/>
        <w:jc w:val="center"/>
        <w:rPr>
          <w:b/>
          <w:highlight w:val="none"/>
          <w:shd w:val="clear" w:color="auto" w:fill="auto"/>
        </w:rPr>
      </w:pPr>
      <w:r>
        <w:rPr>
          <w:b/>
          <w:shd w:val="clear" w:color="auto" w:fill="auto"/>
        </w:rPr>
      </w:r>
      <w:r>
        <w:rPr>
          <w:b/>
          <w:highlight w:val="none"/>
          <w:shd w:val="clear" w:color="auto" w:fill="auto"/>
        </w:rPr>
      </w:r>
      <w:r>
        <w:rPr>
          <w:b/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>
        <w:rPr>
          <w:shd w:val="clear" w:color="auto" w:fill="auto"/>
        </w:rPr>
        <w:t xml:space="preserve">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Заполнение заявки осуществляется в соответствии с порядком, определенным регламентом электронной площадки АО «Сбербанк-АСТ».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Подача заявки осуществляется заявителем, зарегистрированным в торговой секции,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вправе подать заявку в любое время с момента размещения извещения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 до предусмотренных указанным извещением даты и времени окончания срока подачи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Один заявитель вправе подать только одну заявку на участие в аукционе в отношении каждого лота.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Участие в аукционе возможно при наличии на лицевом счете заявителя денежных средств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Все документы, входящие в состав заявки, должны иметь четко читаемый текст.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предоставляется организатору аукциона через Оператора.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Заявка не может быть принята Оператором в случае: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в размере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в) подачи заявки по истечении установленного срока подачи заявок;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enter" w:pos="284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Заявителям, признанным участниками аукциона, и зая</w:t>
      </w:r>
      <w:r>
        <w:rPr>
          <w:bCs/>
          <w:shd w:val="clear" w:color="auto" w:fill="auto"/>
        </w:rPr>
        <w:t xml:space="preserve">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284" w:leader="none"/>
          <w:tab w:val="clear" w:pos="708" w:leader="none"/>
        </w:tabs>
        <w:rPr>
          <w:bCs/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</w:r>
      <w:r>
        <w:rPr>
          <w:bCs/>
          <w:highlight w:val="none"/>
          <w:shd w:val="clear" w:color="auto" w:fill="auto"/>
        </w:rPr>
      </w:r>
      <w:r>
        <w:rPr>
          <w:bCs/>
          <w:highlight w:val="none"/>
          <w:shd w:val="clear" w:color="auto" w:fill="auto"/>
        </w:rPr>
      </w:r>
    </w:p>
    <w:p>
      <w:pPr>
        <w:pStyle w:val="686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  <w:lang w:bidi="ru-RU"/>
        </w:rPr>
        <w:t xml:space="preserve">Порядок и срок изменения, отзыва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502"/>
        <w:widowControl w:val="off"/>
        <w:rPr>
          <w:b/>
          <w:bCs/>
          <w:highlight w:val="none"/>
          <w:shd w:val="clear" w:color="auto" w:fill="auto"/>
          <w:lang w:bidi="ru-RU"/>
        </w:rPr>
      </w:pPr>
      <w:r>
        <w:rPr>
          <w:b/>
          <w:bCs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имеет право отозвать принятую организатором аукциона заявку на участие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аукционе до дня окончания срока приема заявок, путем направлен</w:t>
      </w:r>
      <w:r>
        <w:rPr>
          <w:shd w:val="clear" w:color="auto" w:fill="auto"/>
        </w:rPr>
        <w:t xml:space="preserve">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</w:t>
      </w:r>
      <w:r>
        <w:rPr>
          <w:shd w:val="clear" w:color="auto" w:fill="auto"/>
        </w:rPr>
        <w:t xml:space="preserve">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Определение участников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center"/>
        <w:rPr>
          <w:b/>
          <w:bCs/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к участию в аукционе или об отказе в допуске к участию в аукционе.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не допускается к участию в аукционе в следующих случаях: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z w:val="20"/>
          <w:shd w:val="clear" w:color="auto" w:fill="auto"/>
        </w:rPr>
        <w:t xml:space="preserve">1) </w:t>
      </w:r>
      <w:r>
        <w:rPr>
          <w:shd w:val="clear" w:color="auto" w:fill="auto"/>
        </w:rPr>
        <w:t xml:space="preserve">непредставление необходимых для участия в аукционе документов или представление недостоверных сведений;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2) непоступление задатка на дату рассмотрения заявок на участие в аукционе;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3) подача заяв</w:t>
      </w:r>
      <w:r>
        <w:rPr>
          <w:shd w:val="clear" w:color="auto" w:fill="auto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 xml:space="preserve">в аренду;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4) наличие свед</w:t>
      </w:r>
      <w:r>
        <w:rPr>
          <w:shd w:val="clear" w:color="auto" w:fill="auto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день при</w:t>
      </w:r>
      <w:r>
        <w:rPr>
          <w:shd w:val="clear" w:color="auto" w:fill="auto"/>
        </w:rPr>
        <w:t xml:space="preserve">знания заявителей участниками аукциона, указанный в извещении </w:t>
        <w:br/>
        <w:t xml:space="preserve"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приобретает статус участника аукциона с момента подписания протокола рассмотрения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Не позднее следующего рабочего дня </w:t>
      </w:r>
      <w:r>
        <w:rPr>
          <w:shd w:val="clear" w:color="auto" w:fill="auto"/>
        </w:rPr>
        <w:t xml:space="preserve">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79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spacing w:line="276" w:lineRule="auto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Порядок проведения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502"/>
        <w:jc w:val="center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5% от начальной цены предмета аукциона</w:t>
      </w:r>
      <w:r>
        <w:rPr>
          <w:rFonts w:eastAsia="Calibri"/>
          <w:shd w:val="clear" w:color="auto" w:fill="auto"/>
        </w:rPr>
        <w:t xml:space="preserve">, и не изменяется в течение всего времени подачи предложений о цене.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цене предмета аукциона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для подачи предложений о цене аукциона определяется в следующем порядке: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10 (десять) минут. При поступлении предложения участн</w:t>
      </w:r>
      <w:r>
        <w:rPr>
          <w:rFonts w:eastAsia="Calibri"/>
          <w:shd w:val="clear" w:color="auto" w:fill="auto"/>
        </w:rPr>
        <w:t xml:space="preserve">ика аукциона </w:t>
        <w:br/>
        <w:t xml:space="preserve"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</w:t>
      </w:r>
      <w:r>
        <w:rPr>
          <w:rFonts w:eastAsia="Calibri"/>
          <w:shd w:val="clear" w:color="auto" w:fill="auto"/>
        </w:rPr>
        <w:t xml:space="preserve">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 xml:space="preserve">а так же как время, оставшееся до окончания торгов в минутах.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в момент его поступления и соответствующее уведомление участника аукциона, в случаях, если: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предложение о цене аукциона предоставлено до начала или по истечении установленного времени для подачи предложений о цене аукциона;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ниже начальной цены;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равно нулю;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не соответствует увеличению текущей цены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предыдущее представленное данным участником аукциона предложение о цене аукциона является лучшим текущим предложением о цене;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участником аукциона предложение о цене аукциона меньше ранее представленных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за земельный участок.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Порядок и срок заключения договора</w:t>
      </w:r>
      <w:r>
        <w:rPr>
          <w:b/>
          <w:bCs/>
          <w:shd w:val="clear" w:color="auto" w:fill="auto"/>
        </w:rPr>
        <w:br w:type="textWrapping" w:clear="all"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</w:t>
      </w:r>
      <w:r>
        <w:rPr>
          <w:bCs/>
          <w:shd w:val="clear" w:color="auto" w:fill="auto"/>
        </w:rPr>
        <w:t xml:space="preserve">ения аукциона не допускается заключение договора купли-продажи земельного участка,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ли аукцион признан несостоявшимся, либо протокола о результатах аукциона на официальных сайтах 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Департамент земельных отношений администрации города Перми обязан в течение п</w:t>
      </w:r>
      <w:r>
        <w:rPr>
          <w:bCs/>
          <w:shd w:val="clear" w:color="auto" w:fill="auto"/>
        </w:rPr>
        <w:t xml:space="preserve">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</w:t>
      </w:r>
      <w:r>
        <w:rPr>
          <w:bCs/>
          <w:shd w:val="clear" w:color="auto" w:fill="auto"/>
        </w:rPr>
        <w:t xml:space="preserve">й Федерации заключается договор купли-продажи земельного участка, находящегося </w:t>
        <w:br/>
        <w:t xml:space="preserve">в государственной или муниципальной собственности, подписанный проект договора купли-продажи земельного участка, находящегося в государственной или муниципальной собственности.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</w:t>
      </w:r>
      <w:r>
        <w:rPr>
          <w:bCs/>
          <w:shd w:val="clear" w:color="auto" w:fill="auto"/>
        </w:rPr>
        <w:t xml:space="preserve">езультатам проведения аукциона договор купли-продажи земельного участка,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Проекты договоров являются частью извещения и представлены в Приложении 2, 3</w:t>
        <w:br/>
        <w:t xml:space="preserve"> к настоящему извещению.</w:t>
        <w:tab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Если договор купли-продажи  в течение десяти рабочих дней со дня направления победителю аукциона проекта указанного договора не был им подп</w:t>
      </w:r>
      <w:r>
        <w:rPr>
          <w:bCs/>
          <w:shd w:val="clear" w:color="auto" w:fill="auto"/>
        </w:rPr>
        <w:t xml:space="preserve">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</w:t>
      </w:r>
      <w:r>
        <w:rPr>
          <w:b w:val="0"/>
          <w:bCs/>
          <w:shd w:val="clear" w:color="auto" w:fill="auto"/>
        </w:rPr>
        <w:t xml:space="preserve">для их заключения по цене, предложенной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6"/>
        <w:numPr>
          <w:ilvl w:val="0"/>
          <w:numId w:val="0"/>
        </w:numPr>
        <w:ind w:left="-567" w:firstLine="567"/>
        <w:jc w:val="both"/>
        <w:tabs>
          <w:tab w:val="center" w:pos="567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rFonts w:eastAsia="Courier New"/>
          <w:shd w:val="clear" w:color="auto" w:fill="auto"/>
          <w:lang w:bidi="ru-RU"/>
        </w:rPr>
        <w:t xml:space="preserve">Сведения о победителях аукционов, уклонившихся от заключения договора купли-продажи, являющегося предметом а</w:t>
      </w:r>
      <w:r>
        <w:rPr>
          <w:rFonts w:eastAsia="Courier New"/>
          <w:shd w:val="clear" w:color="auto" w:fill="auto"/>
          <w:lang w:bidi="ru-RU"/>
        </w:rPr>
        <w:t xml:space="preserve">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420" w:right="567" w:bottom="1134" w:left="1418" w:header="36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ahoma">
    <w:panose1 w:val="020B0604030504040204"/>
  </w:font>
  <w:font w:name="Open Sans">
    <w:panose1 w:val="020B0606030504020204"/>
  </w:font>
  <w:font w:name="Calibri Light">
    <w:panose1 w:val="020F0502020204030204"/>
  </w:font>
  <w:font w:name="Symbol">
    <w:panose1 w:val="05010000000000000000"/>
  </w:font>
  <w:font w:name="Arial">
    <w:panose1 w:val="020B0604020202020204"/>
  </w:font>
  <w:font w:name="TimesNewRomanPSMT">
    <w:panose1 w:val="020206030504050203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4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 xml:space="preserve">15</w:t>
    </w:r>
    <w:r>
      <w:rPr>
        <w:sz w:val="20"/>
        <w:szCs w:val="28"/>
      </w:rPr>
      <w:fldChar w:fldCharType="end"/>
    </w:r>
    <w:r>
      <w:rPr>
        <w:sz w:val="20"/>
        <w:szCs w:val="28"/>
      </w:rPr>
    </w:r>
    <w:r>
      <w:rPr>
        <w:sz w:val="20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8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9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zh-CN" w:bidi="ar-SA"/>
    </w:rPr>
  </w:style>
  <w:style w:type="paragraph" w:styleId="687">
    <w:name w:val="Heading 1"/>
    <w:basedOn w:val="686"/>
    <w:qFormat/>
    <w:pPr>
      <w:numPr>
        <w:ilvl w:val="0"/>
        <w:numId w:val="1"/>
      </w:numPr>
      <w:jc w:val="center"/>
      <w:keepNext/>
      <w:outlineLvl w:val="0"/>
    </w:pPr>
    <w:rPr>
      <w:b/>
      <w:sz w:val="28"/>
      <w:szCs w:val="20"/>
    </w:rPr>
  </w:style>
  <w:style w:type="paragraph" w:styleId="688">
    <w:name w:val="Heading 2"/>
    <w:basedOn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9">
    <w:name w:val="Heading 3"/>
    <w:basedOn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2">
    <w:name w:val="Heading 6"/>
    <w:basedOn w:val="686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693">
    <w:name w:val="Heading 7"/>
    <w:basedOn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1 Char"/>
    <w:basedOn w:val="713"/>
    <w:uiPriority w:val="9"/>
    <w:qFormat/>
    <w:rPr>
      <w:rFonts w:ascii="Arial" w:hAnsi="Arial" w:eastAsia="Arial" w:cs="Arial"/>
      <w:sz w:val="40"/>
      <w:szCs w:val="40"/>
    </w:rPr>
  </w:style>
  <w:style w:type="character" w:styleId="697">
    <w:name w:val="Heading 2 Char"/>
    <w:basedOn w:val="713"/>
    <w:uiPriority w:val="9"/>
    <w:qFormat/>
    <w:rPr>
      <w:rFonts w:ascii="Arial" w:hAnsi="Arial" w:eastAsia="Arial" w:cs="Arial"/>
      <w:sz w:val="34"/>
    </w:rPr>
  </w:style>
  <w:style w:type="character" w:styleId="698">
    <w:name w:val="Heading 3 Char"/>
    <w:basedOn w:val="713"/>
    <w:uiPriority w:val="9"/>
    <w:qFormat/>
    <w:rPr>
      <w:rFonts w:ascii="Arial" w:hAnsi="Arial" w:eastAsia="Arial" w:cs="Arial"/>
      <w:sz w:val="30"/>
      <w:szCs w:val="30"/>
    </w:rPr>
  </w:style>
  <w:style w:type="character" w:styleId="699">
    <w:name w:val="Heading 4 Char"/>
    <w:basedOn w:val="71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0">
    <w:name w:val="Heading 5 Char"/>
    <w:basedOn w:val="71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1">
    <w:name w:val="Heading 6 Char"/>
    <w:basedOn w:val="71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2">
    <w:name w:val="Heading 7 Char"/>
    <w:basedOn w:val="71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8 Char"/>
    <w:basedOn w:val="71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4">
    <w:name w:val="Heading 9 Char"/>
    <w:basedOn w:val="71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5">
    <w:name w:val="Title Char"/>
    <w:basedOn w:val="713"/>
    <w:uiPriority w:val="10"/>
    <w:qFormat/>
    <w:rPr>
      <w:sz w:val="48"/>
      <w:szCs w:val="48"/>
    </w:rPr>
  </w:style>
  <w:style w:type="character" w:styleId="706">
    <w:name w:val="Subtitle Char"/>
    <w:basedOn w:val="713"/>
    <w:uiPriority w:val="11"/>
    <w:qFormat/>
    <w:rPr>
      <w:sz w:val="24"/>
      <w:szCs w:val="24"/>
    </w:rPr>
  </w:style>
  <w:style w:type="character" w:styleId="707">
    <w:name w:val="Quote Char"/>
    <w:uiPriority w:val="29"/>
    <w:qFormat/>
    <w:rPr>
      <w:i/>
    </w:rPr>
  </w:style>
  <w:style w:type="character" w:styleId="708">
    <w:name w:val="Intense Quote Char"/>
    <w:uiPriority w:val="30"/>
    <w:qFormat/>
    <w:rPr>
      <w:i/>
    </w:rPr>
  </w:style>
  <w:style w:type="character" w:styleId="709">
    <w:name w:val="Header Char"/>
    <w:basedOn w:val="713"/>
    <w:uiPriority w:val="99"/>
    <w:qFormat/>
  </w:style>
  <w:style w:type="character" w:styleId="710">
    <w:name w:val="Caption Char"/>
    <w:uiPriority w:val="99"/>
    <w:qFormat/>
  </w:style>
  <w:style w:type="character" w:styleId="711">
    <w:name w:val="Footnote Text Char"/>
    <w:uiPriority w:val="99"/>
    <w:qFormat/>
    <w:rPr>
      <w:sz w:val="18"/>
    </w:rPr>
  </w:style>
  <w:style w:type="character" w:styleId="712">
    <w:name w:val="Endnote Text Char"/>
    <w:uiPriority w:val="99"/>
    <w:qFormat/>
    <w:rPr>
      <w:sz w:val="20"/>
    </w:rPr>
  </w:style>
  <w:style w:type="character" w:styleId="713" w:default="1">
    <w:name w:val="Default Paragraph Font"/>
    <w:uiPriority w:val="1"/>
    <w:semiHidden/>
    <w:unhideWhenUsed/>
    <w:qFormat/>
  </w:style>
  <w:style w:type="character" w:styleId="714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15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16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Заголовок Знак1"/>
    <w:uiPriority w:val="10"/>
    <w:qFormat/>
    <w:rPr>
      <w:sz w:val="48"/>
      <w:szCs w:val="48"/>
    </w:rPr>
  </w:style>
  <w:style w:type="character" w:styleId="724" w:customStyle="1">
    <w:name w:val="Подзаголовок Знак"/>
    <w:uiPriority w:val="11"/>
    <w:qFormat/>
    <w:rPr>
      <w:sz w:val="24"/>
      <w:szCs w:val="24"/>
    </w:rPr>
  </w:style>
  <w:style w:type="character" w:styleId="725" w:customStyle="1">
    <w:name w:val="Цитата 2 Знак"/>
    <w:uiPriority w:val="29"/>
    <w:qFormat/>
    <w:rPr>
      <w:i/>
    </w:rPr>
  </w:style>
  <w:style w:type="character" w:styleId="726" w:customStyle="1">
    <w:name w:val="Выделенная цитата Знак"/>
    <w:uiPriority w:val="30"/>
    <w:qFormat/>
    <w:rPr>
      <w:i/>
    </w:rPr>
  </w:style>
  <w:style w:type="character" w:styleId="727" w:customStyle="1">
    <w:name w:val="Верхний колонтитул Знак1"/>
    <w:uiPriority w:val="99"/>
    <w:qFormat/>
  </w:style>
  <w:style w:type="character" w:styleId="728" w:customStyle="1">
    <w:name w:val="Footer Char"/>
    <w:uiPriority w:val="99"/>
    <w:qFormat/>
  </w:style>
  <w:style w:type="character" w:styleId="729" w:customStyle="1">
    <w:name w:val="Нижний колонтитул Знак1"/>
    <w:uiPriority w:val="99"/>
    <w:qFormat/>
  </w:style>
  <w:style w:type="character" w:styleId="730" w:customStyle="1">
    <w:name w:val="Текст сноски Знак"/>
    <w:uiPriority w:val="99"/>
    <w:qFormat/>
    <w:rPr>
      <w:sz w:val="18"/>
    </w:rPr>
  </w:style>
  <w:style w:type="character" w:styleId="731">
    <w:name w:val="Символ сноски"/>
    <w:uiPriority w:val="99"/>
    <w:unhideWhenUsed/>
    <w:qFormat/>
    <w:rPr>
      <w:vertAlign w:val="superscript"/>
    </w:rPr>
  </w:style>
  <w:style w:type="character" w:styleId="732">
    <w:name w:val="footnote reference"/>
    <w:rPr>
      <w:vertAlign w:val="superscript"/>
    </w:rPr>
  </w:style>
  <w:style w:type="character" w:styleId="733" w:customStyle="1">
    <w:name w:val="Текст концевой сноски Знак"/>
    <w:uiPriority w:val="99"/>
    <w:qFormat/>
    <w:rPr>
      <w:sz w:val="20"/>
    </w:rPr>
  </w:style>
  <w:style w:type="character" w:styleId="73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35">
    <w:name w:val="endnote reference"/>
    <w:rPr>
      <w:vertAlign w:val="superscript"/>
    </w:rPr>
  </w:style>
  <w:style w:type="character" w:styleId="736" w:customStyle="1">
    <w:name w:val="WW8Num2z0"/>
    <w:qFormat/>
    <w:rPr>
      <w:rFonts w:ascii="Symbol" w:hAnsi="Symbol" w:cs="Symbol"/>
    </w:rPr>
  </w:style>
  <w:style w:type="character" w:styleId="737" w:customStyle="1">
    <w:name w:val="WW8Num3z0"/>
    <w:qFormat/>
  </w:style>
  <w:style w:type="character" w:styleId="738" w:customStyle="1">
    <w:name w:val="WW8Num4z0"/>
    <w:qFormat/>
  </w:style>
  <w:style w:type="character" w:styleId="739" w:customStyle="1">
    <w:name w:val="WW8Num5z0"/>
    <w:qFormat/>
    <w:rPr>
      <w:sz w:val="16"/>
      <w:szCs w:val="16"/>
    </w:rPr>
  </w:style>
  <w:style w:type="character" w:styleId="740" w:customStyle="1">
    <w:name w:val="WW8Num6z0"/>
    <w:qFormat/>
  </w:style>
  <w:style w:type="character" w:styleId="741" w:customStyle="1">
    <w:name w:val="WW8Num7z0"/>
    <w:qFormat/>
  </w:style>
  <w:style w:type="character" w:styleId="742" w:customStyle="1">
    <w:name w:val="WW8Num8z0"/>
    <w:qFormat/>
  </w:style>
  <w:style w:type="character" w:styleId="743" w:customStyle="1">
    <w:name w:val="WW8Num9z0"/>
    <w:qFormat/>
  </w:style>
  <w:style w:type="character" w:styleId="744" w:customStyle="1">
    <w:name w:val="WW8Num10z0"/>
    <w:qFormat/>
  </w:style>
  <w:style w:type="character" w:styleId="745" w:customStyle="1">
    <w:name w:val="WW8Num11z0"/>
    <w:qFormat/>
  </w:style>
  <w:style w:type="character" w:styleId="746" w:customStyle="1">
    <w:name w:val="WW8Num12z0"/>
    <w:qFormat/>
  </w:style>
  <w:style w:type="character" w:styleId="747" w:customStyle="1">
    <w:name w:val="WW8Num13z0"/>
    <w:qFormat/>
  </w:style>
  <w:style w:type="character" w:styleId="748" w:customStyle="1">
    <w:name w:val="WW8Num14z0"/>
    <w:qFormat/>
  </w:style>
  <w:style w:type="character" w:styleId="749" w:customStyle="1">
    <w:name w:val="WW8Num15z0"/>
    <w:qFormat/>
  </w:style>
  <w:style w:type="character" w:styleId="750" w:customStyle="1">
    <w:name w:val="WW8Num18z0"/>
    <w:qFormat/>
  </w:style>
  <w:style w:type="character" w:styleId="751" w:customStyle="1">
    <w:name w:val="WW8Num19z0"/>
    <w:qFormat/>
  </w:style>
  <w:style w:type="character" w:styleId="752" w:customStyle="1">
    <w:name w:val="WW8Num20z0"/>
    <w:qFormat/>
  </w:style>
  <w:style w:type="character" w:styleId="753" w:customStyle="1">
    <w:name w:val="WW8Num21z0"/>
    <w:qFormat/>
  </w:style>
  <w:style w:type="character" w:styleId="754" w:customStyle="1">
    <w:name w:val="WW8Num22z0"/>
    <w:qFormat/>
  </w:style>
  <w:style w:type="character" w:styleId="755" w:customStyle="1">
    <w:name w:val="WW8Num23z0"/>
    <w:qFormat/>
  </w:style>
  <w:style w:type="character" w:styleId="756" w:customStyle="1">
    <w:name w:val="WW8Num25z0"/>
    <w:qFormat/>
  </w:style>
  <w:style w:type="character" w:styleId="757" w:customStyle="1">
    <w:name w:val="WW8Num26z0"/>
    <w:qFormat/>
  </w:style>
  <w:style w:type="character" w:styleId="758" w:customStyle="1">
    <w:name w:val="WW8Num27z0"/>
    <w:qFormat/>
  </w:style>
  <w:style w:type="character" w:styleId="759" w:customStyle="1">
    <w:name w:val="WW8Num29z0"/>
    <w:qFormat/>
    <w:rPr>
      <w:rFonts w:ascii="Symbol" w:hAnsi="Symbol" w:cs="Symbol"/>
    </w:rPr>
  </w:style>
  <w:style w:type="character" w:styleId="760" w:customStyle="1">
    <w:name w:val="WW8Num30z0"/>
    <w:qFormat/>
  </w:style>
  <w:style w:type="character" w:styleId="761" w:customStyle="1">
    <w:name w:val="WW8Num31z0"/>
    <w:qFormat/>
  </w:style>
  <w:style w:type="character" w:styleId="762" w:customStyle="1">
    <w:name w:val="WW8Num32z0"/>
    <w:qFormat/>
  </w:style>
  <w:style w:type="character" w:styleId="763" w:customStyle="1">
    <w:name w:val="WW8Num33z0"/>
    <w:qFormat/>
  </w:style>
  <w:style w:type="character" w:styleId="764" w:customStyle="1">
    <w:name w:val="WW8Num34z0"/>
    <w:qFormat/>
  </w:style>
  <w:style w:type="character" w:styleId="765">
    <w:name w:val="page number"/>
    <w:basedOn w:val="713"/>
    <w:qFormat/>
  </w:style>
  <w:style w:type="character" w:styleId="766" w:customStyle="1">
    <w:name w:val="Текст Знак"/>
    <w:qFormat/>
    <w:rPr>
      <w:rFonts w:ascii="Courier New" w:hAnsi="Courier New" w:cs="Courier New"/>
    </w:rPr>
  </w:style>
  <w:style w:type="character" w:styleId="767" w:customStyle="1">
    <w:name w:val="Верхний колонтитул Знак"/>
    <w:qFormat/>
    <w:rPr>
      <w:sz w:val="16"/>
      <w:lang w:val="ru-RU" w:bidi="ar-SA"/>
    </w:rPr>
  </w:style>
  <w:style w:type="character" w:styleId="768" w:customStyle="1">
    <w:name w:val="Основной текст с отступом 3 Знак"/>
    <w:qFormat/>
    <w:rPr>
      <w:sz w:val="16"/>
      <w:szCs w:val="16"/>
    </w:rPr>
  </w:style>
  <w:style w:type="character" w:styleId="769">
    <w:name w:val="Hyperlink"/>
    <w:rPr>
      <w:color w:val="0563c1"/>
      <w:u w:val="single"/>
    </w:rPr>
  </w:style>
  <w:style w:type="character" w:styleId="770" w:customStyle="1">
    <w:name w:val="Абзац списка Знак"/>
    <w:qFormat/>
    <w:rPr>
      <w:sz w:val="24"/>
      <w:szCs w:val="24"/>
    </w:rPr>
  </w:style>
  <w:style w:type="character" w:styleId="771" w:customStyle="1">
    <w:name w:val="Заголовок 6 Знак"/>
    <w:qFormat/>
    <w:rPr>
      <w:b/>
      <w:bCs/>
      <w:sz w:val="22"/>
      <w:szCs w:val="22"/>
    </w:rPr>
  </w:style>
  <w:style w:type="character" w:styleId="772" w:customStyle="1">
    <w:name w:val="Название Знак"/>
    <w:qFormat/>
    <w:rPr>
      <w:sz w:val="28"/>
      <w:lang w:val="ru-RU" w:bidi="ar-SA"/>
    </w:rPr>
  </w:style>
  <w:style w:type="character" w:styleId="773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774" w:customStyle="1">
    <w:name w:val="Нижний колонтитул Знак"/>
    <w:qFormat/>
  </w:style>
  <w:style w:type="character" w:styleId="775">
    <w:name w:val="FollowedHyperlink"/>
    <w:rPr>
      <w:color w:val="954f72"/>
      <w:u w:val="single"/>
    </w:rPr>
  </w:style>
  <w:style w:type="character" w:styleId="776" w:customStyle="1">
    <w:name w:val="Гиперссылка"/>
    <w:qFormat/>
    <w:rPr>
      <w:color w:val="0000ff"/>
      <w:u w:val="single"/>
    </w:rPr>
  </w:style>
  <w:style w:type="character" w:styleId="777">
    <w:name w:val="Символ нумерации"/>
    <w:qFormat/>
  </w:style>
  <w:style w:type="paragraph" w:styleId="778">
    <w:name w:val="Заголовок"/>
    <w:basedOn w:val="686"/>
    <w:next w:val="779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79">
    <w:name w:val="Body Text"/>
    <w:basedOn w:val="686"/>
    <w:pPr>
      <w:jc w:val="right"/>
    </w:pPr>
    <w:rPr>
      <w:sz w:val="28"/>
    </w:rPr>
  </w:style>
  <w:style w:type="paragraph" w:styleId="780">
    <w:name w:val="List"/>
    <w:basedOn w:val="779"/>
    <w:rPr>
      <w:rFonts w:cs="Lohit Devanagari"/>
    </w:rPr>
  </w:style>
  <w:style w:type="paragraph" w:styleId="781">
    <w:name w:val="Caption"/>
    <w:basedOn w:val="686"/>
    <w:qFormat/>
    <w:pPr>
      <w:spacing w:before="120" w:after="120"/>
      <w:suppressLineNumbers/>
    </w:pPr>
    <w:rPr>
      <w:rFonts w:cs="Lohit Devanagari"/>
      <w:i/>
      <w:iCs/>
    </w:rPr>
  </w:style>
  <w:style w:type="paragraph" w:styleId="782">
    <w:name w:val="Указатель"/>
    <w:basedOn w:val="686"/>
    <w:qFormat/>
    <w:pPr>
      <w:suppressLineNumbers/>
    </w:pPr>
    <w:rPr>
      <w:rFonts w:cs="Lohit Devanagari"/>
    </w:rPr>
  </w:style>
  <w:style w:type="paragraph" w:styleId="783">
    <w:name w:val="List Paragraph"/>
    <w:basedOn w:val="686"/>
    <w:qFormat/>
    <w:pPr>
      <w:ind w:left="708"/>
    </w:pPr>
  </w:style>
  <w:style w:type="paragraph" w:styleId="784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785">
    <w:name w:val="Title"/>
    <w:basedOn w:val="686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786">
    <w:name w:val="Subtitle"/>
    <w:basedOn w:val="686"/>
    <w:uiPriority w:val="11"/>
    <w:qFormat/>
    <w:pPr>
      <w:spacing w:before="200" w:after="200"/>
    </w:pPr>
  </w:style>
  <w:style w:type="paragraph" w:styleId="787">
    <w:name w:val="Quote"/>
    <w:basedOn w:val="686"/>
    <w:uiPriority w:val="29"/>
    <w:qFormat/>
    <w:pPr>
      <w:ind w:left="720" w:right="720"/>
    </w:pPr>
    <w:rPr>
      <w:i/>
    </w:rPr>
  </w:style>
  <w:style w:type="paragraph" w:styleId="788">
    <w:name w:val="Intense Quote"/>
    <w:basedOn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89">
    <w:name w:val="footnote text"/>
    <w:basedOn w:val="686"/>
    <w:uiPriority w:val="99"/>
    <w:semiHidden/>
    <w:unhideWhenUsed/>
    <w:pPr>
      <w:spacing w:before="0" w:after="40"/>
    </w:pPr>
    <w:rPr>
      <w:sz w:val="18"/>
    </w:rPr>
  </w:style>
  <w:style w:type="paragraph" w:styleId="790">
    <w:name w:val="endnote text"/>
    <w:basedOn w:val="686"/>
    <w:uiPriority w:val="99"/>
    <w:semiHidden/>
    <w:unhideWhenUsed/>
    <w:rPr>
      <w:sz w:val="20"/>
    </w:rPr>
  </w:style>
  <w:style w:type="paragraph" w:styleId="791">
    <w:name w:val="toc 1"/>
    <w:basedOn w:val="686"/>
    <w:uiPriority w:val="39"/>
    <w:unhideWhenUsed/>
    <w:pPr>
      <w:spacing w:before="0" w:after="57"/>
    </w:pPr>
  </w:style>
  <w:style w:type="paragraph" w:styleId="792">
    <w:name w:val="toc 2"/>
    <w:basedOn w:val="686"/>
    <w:uiPriority w:val="39"/>
    <w:unhideWhenUsed/>
    <w:pPr>
      <w:ind w:left="283"/>
      <w:spacing w:before="0" w:after="57"/>
    </w:pPr>
  </w:style>
  <w:style w:type="paragraph" w:styleId="793">
    <w:name w:val="toc 3"/>
    <w:basedOn w:val="686"/>
    <w:uiPriority w:val="39"/>
    <w:unhideWhenUsed/>
    <w:pPr>
      <w:ind w:left="567"/>
      <w:spacing w:before="0" w:after="57"/>
    </w:pPr>
  </w:style>
  <w:style w:type="paragraph" w:styleId="794">
    <w:name w:val="toc 4"/>
    <w:basedOn w:val="686"/>
    <w:uiPriority w:val="39"/>
    <w:unhideWhenUsed/>
    <w:pPr>
      <w:ind w:left="850"/>
      <w:spacing w:before="0" w:after="57"/>
    </w:pPr>
  </w:style>
  <w:style w:type="paragraph" w:styleId="795">
    <w:name w:val="toc 5"/>
    <w:basedOn w:val="686"/>
    <w:uiPriority w:val="39"/>
    <w:unhideWhenUsed/>
    <w:pPr>
      <w:ind w:left="1134"/>
      <w:spacing w:before="0" w:after="57"/>
    </w:pPr>
  </w:style>
  <w:style w:type="paragraph" w:styleId="796">
    <w:name w:val="toc 6"/>
    <w:basedOn w:val="686"/>
    <w:uiPriority w:val="39"/>
    <w:unhideWhenUsed/>
    <w:pPr>
      <w:ind w:left="1417"/>
      <w:spacing w:before="0" w:after="57"/>
    </w:pPr>
  </w:style>
  <w:style w:type="paragraph" w:styleId="797">
    <w:name w:val="toc 7"/>
    <w:basedOn w:val="686"/>
    <w:uiPriority w:val="39"/>
    <w:unhideWhenUsed/>
    <w:pPr>
      <w:ind w:left="1701"/>
      <w:spacing w:before="0" w:after="57"/>
    </w:pPr>
  </w:style>
  <w:style w:type="paragraph" w:styleId="798">
    <w:name w:val="toc 8"/>
    <w:basedOn w:val="686"/>
    <w:uiPriority w:val="39"/>
    <w:unhideWhenUsed/>
    <w:pPr>
      <w:ind w:left="1984"/>
      <w:spacing w:before="0" w:after="57"/>
    </w:pPr>
  </w:style>
  <w:style w:type="paragraph" w:styleId="799">
    <w:name w:val="toc 9"/>
    <w:basedOn w:val="686"/>
    <w:uiPriority w:val="39"/>
    <w:unhideWhenUsed/>
    <w:pPr>
      <w:ind w:left="2268"/>
      <w:spacing w:before="0" w:after="57"/>
    </w:pPr>
  </w:style>
  <w:style w:type="paragraph" w:styleId="800">
    <w:name w:val="Index Heading"/>
    <w:basedOn w:val="778"/>
  </w:style>
  <w:style w:type="paragraph" w:styleId="801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802">
    <w:name w:val="table of figures"/>
    <w:basedOn w:val="686"/>
    <w:uiPriority w:val="99"/>
    <w:unhideWhenUsed/>
  </w:style>
  <w:style w:type="paragraph" w:styleId="803">
    <w:name w:val="index heading1"/>
    <w:basedOn w:val="686"/>
    <w:qFormat/>
    <w:pPr>
      <w:suppressLineNumbers/>
    </w:pPr>
    <w:rPr>
      <w:rFonts w:cs="Lohit Devanagari"/>
    </w:rPr>
  </w:style>
  <w:style w:type="paragraph" w:styleId="804" w:customStyle="1">
    <w:name w:val="Caption1"/>
    <w:basedOn w:val="686"/>
    <w:qFormat/>
    <w:pPr>
      <w:spacing w:before="120" w:after="120"/>
      <w:suppressLineNumbers/>
    </w:pPr>
    <w:rPr>
      <w:rFonts w:cs="Lohit Devanagari"/>
      <w:i/>
      <w:iCs/>
    </w:rPr>
  </w:style>
  <w:style w:type="paragraph" w:styleId="805">
    <w:name w:val="Plain Text"/>
    <w:basedOn w:val="686"/>
    <w:qFormat/>
    <w:rPr>
      <w:rFonts w:ascii="Courier New" w:hAnsi="Courier New" w:cs="Courier New"/>
      <w:sz w:val="20"/>
      <w:szCs w:val="20"/>
      <w:lang w:val="en-US"/>
    </w:rPr>
  </w:style>
  <w:style w:type="paragraph" w:styleId="806" w:customStyle="1">
    <w:name w:val="ConsNormal"/>
    <w:qFormat/>
    <w:pPr>
      <w:ind w:firstLine="720"/>
      <w:jc w:val="left"/>
      <w:spacing w:before="0" w:after="0"/>
      <w:widowControl/>
    </w:pPr>
    <w:rPr>
      <w:rFonts w:ascii="Consultant" w:hAnsi="Consultant" w:eastAsia="Droid Sans Fallback" w:cs="Consultant"/>
      <w:color w:val="auto"/>
      <w:sz w:val="20"/>
      <w:szCs w:val="20"/>
      <w:lang w:val="ru-RU" w:eastAsia="zh-CN" w:bidi="ar-SA"/>
    </w:rPr>
  </w:style>
  <w:style w:type="paragraph" w:styleId="807">
    <w:name w:val="Body Text 2"/>
    <w:basedOn w:val="686"/>
    <w:qFormat/>
    <w:pPr>
      <w:spacing w:before="0" w:after="120" w:line="480" w:lineRule="auto"/>
    </w:pPr>
  </w:style>
  <w:style w:type="paragraph" w:styleId="808">
    <w:name w:val="Body Text 3"/>
    <w:basedOn w:val="686"/>
    <w:qFormat/>
    <w:pPr>
      <w:spacing w:before="0" w:after="120"/>
    </w:pPr>
    <w:rPr>
      <w:sz w:val="16"/>
      <w:szCs w:val="16"/>
    </w:rPr>
  </w:style>
  <w:style w:type="paragraph" w:styleId="809" w:customStyle="1">
    <w:name w:val="Колонтитул"/>
    <w:basedOn w:val="686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10">
    <w:name w:val="Footer"/>
    <w:basedOn w:val="686"/>
    <w:pPr>
      <w:tabs>
        <w:tab w:val="clear" w:pos="708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11">
    <w:name w:val="Balloon Text"/>
    <w:basedOn w:val="686"/>
    <w:qFormat/>
    <w:rPr>
      <w:rFonts w:ascii="Tahoma" w:hAnsi="Tahoma" w:cs="Tahoma"/>
      <w:sz w:val="16"/>
      <w:szCs w:val="16"/>
    </w:rPr>
  </w:style>
  <w:style w:type="paragraph" w:styleId="812" w:customStyle="1">
    <w:name w:val="Знак Знак Знак Знак Знак Знак Знак Знак Знак Знак Знак Знак"/>
    <w:basedOn w:val="686"/>
    <w:qFormat/>
    <w:rPr>
      <w:rFonts w:ascii="Verdana" w:hAnsi="Verdana" w:cs="Verdana"/>
      <w:sz w:val="20"/>
      <w:szCs w:val="20"/>
      <w:lang w:val="en-US"/>
    </w:rPr>
  </w:style>
  <w:style w:type="paragraph" w:styleId="813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Lohit Devanagari"/>
      <w:color w:val="auto"/>
      <w:sz w:val="20"/>
      <w:szCs w:val="20"/>
      <w:lang w:val="ru-RU" w:eastAsia="zh-CN" w:bidi="ar-SA"/>
    </w:rPr>
  </w:style>
  <w:style w:type="paragraph" w:styleId="814">
    <w:name w:val="Header"/>
    <w:pPr>
      <w:jc w:val="center"/>
      <w:spacing w:before="0" w:after="0"/>
      <w:widowControl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Droid Sans Fallback" w:cs="Lohit Devanagari"/>
      <w:color w:val="auto"/>
      <w:sz w:val="16"/>
      <w:szCs w:val="20"/>
      <w:lang w:val="ru-RU" w:eastAsia="zh-CN" w:bidi="ar-SA"/>
    </w:rPr>
  </w:style>
  <w:style w:type="paragraph" w:styleId="815">
    <w:name w:val="Body Text Indent 3"/>
    <w:basedOn w:val="686"/>
    <w:qFormat/>
    <w:pPr>
      <w:ind w:left="283"/>
      <w:spacing w:before="0" w:after="120"/>
    </w:pPr>
    <w:rPr>
      <w:sz w:val="16"/>
      <w:szCs w:val="16"/>
      <w:lang w:val="en-US"/>
    </w:rPr>
  </w:style>
  <w:style w:type="paragraph" w:styleId="816">
    <w:name w:val="Normal (Web)"/>
    <w:basedOn w:val="686"/>
    <w:qFormat/>
    <w:pPr>
      <w:spacing w:before="280" w:after="280"/>
    </w:pPr>
  </w:style>
  <w:style w:type="paragraph" w:styleId="817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000000"/>
      <w:sz w:val="24"/>
      <w:szCs w:val="24"/>
      <w:lang w:val="ru-RU" w:eastAsia="zh-CN" w:bidi="ar-SA"/>
    </w:rPr>
  </w:style>
  <w:style w:type="paragraph" w:styleId="818" w:customStyle="1">
    <w:name w:val="Содержимое таблицы"/>
    <w:basedOn w:val="686"/>
    <w:qFormat/>
    <w:pPr>
      <w:widowControl w:val="off"/>
      <w:suppressLineNumbers/>
    </w:pPr>
  </w:style>
  <w:style w:type="paragraph" w:styleId="819" w:customStyle="1">
    <w:name w:val="Заголовок таблицы"/>
    <w:basedOn w:val="818"/>
    <w:qFormat/>
    <w:pPr>
      <w:jc w:val="center"/>
    </w:pPr>
    <w:rPr>
      <w:b/>
      <w:bCs/>
    </w:rPr>
  </w:style>
  <w:style w:type="numbering" w:styleId="820" w:default="1">
    <w:name w:val="No List"/>
    <w:uiPriority w:val="99"/>
    <w:semiHidden/>
    <w:unhideWhenUsed/>
    <w:qFormat/>
  </w:style>
  <w:style w:type="table" w:styleId="82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2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2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2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2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5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5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5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5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5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5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5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6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6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6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86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6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6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7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8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8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8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8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8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9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9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1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1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1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1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1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1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2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2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2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2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2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2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2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2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2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2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3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3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3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3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3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3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3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3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3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3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4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4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4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4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4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4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Relationship Id="rId15" Type="http://schemas.openxmlformats.org/officeDocument/2006/relationships/hyperlink" Target="https://utp.sberbank-ast.ru/Main/Notice/988/Reglament" TargetMode="External"/><Relationship Id="rId16" Type="http://schemas.openxmlformats.org/officeDocument/2006/relationships/hyperlink" Target="https://utp.sberbank-ast.ru/AP/Notice/1027/Instructions" TargetMode="External"/><Relationship Id="rId17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http://www.gorodperm.ru/" TargetMode="External"/><Relationship Id="rId19" Type="http://schemas.openxmlformats.org/officeDocument/2006/relationships/hyperlink" Target="http://www.gorodperm.ru/" TargetMode="External"/><Relationship Id="rId20" Type="http://schemas.openxmlformats.org/officeDocument/2006/relationships/hyperlink" Target="http://www.gorodperm.ru/" TargetMode="External"/><Relationship Id="rId21" Type="http://schemas.openxmlformats.org/officeDocument/2006/relationships/hyperlink" Target="http://www.gorodperm.ru/" TargetMode="External"/><Relationship Id="rId22" Type="http://schemas.openxmlformats.org/officeDocument/2006/relationships/hyperlink" Target="http://www.gorodperm.ru" TargetMode="External"/><Relationship Id="rId23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subject/>
  <dc:creator>Tatyannikova</dc:creator>
  <dc:description/>
  <dc:language>ru-RU</dc:language>
  <cp:revision>279</cp:revision>
  <dcterms:created xsi:type="dcterms:W3CDTF">2023-10-30T09:15:00Z</dcterms:created>
  <dcterms:modified xsi:type="dcterms:W3CDTF">2025-07-01T13:25:01Z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