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21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02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07.07.2025 № 059-19-01-11-82</w:t>
      </w:r>
      <w:r>
        <w:rPr>
          <w:sz w:val="28"/>
          <w:szCs w:val="28"/>
        </w:rPr>
      </w:r>
    </w:p>
    <w:p>
      <w:pPr>
        <w:pStyle w:val="702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1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14.08.2025 электронных аукционов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2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702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</w:t>
      </w:r>
      <w:r>
        <w:rPr>
          <w:highlight w:val="white"/>
          <w:shd w:val="clear" w:color="auto" w:fill="ffffff"/>
        </w:rPr>
        <w:t xml:space="preserve">3</w:t>
      </w:r>
      <w:r>
        <w:rPr>
          <w:highlight w:val="white"/>
          <w:shd w:val="clear" w:color="auto" w:fill="ffffff"/>
        </w:rPr>
        <w:t xml:space="preserve">9.</w:t>
      </w:r>
      <w:r>
        <w:rPr>
          <w:highlight w:val="white"/>
          <w:shd w:val="clear" w:color="auto" w:fill="ffffff"/>
        </w:rPr>
        <w:t xml:space="preserve">11, 39.12, 39.13</w:t>
      </w:r>
      <w:r>
        <w:rPr>
          <w:shd w:val="clear" w:color="auto" w:fill="ffffff"/>
        </w:rPr>
        <w:t xml:space="preserve">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 о</w:t>
      </w:r>
      <w:r>
        <w:rPr>
          <w:shd w:val="clear" w:color="auto" w:fill="ffffff"/>
        </w:rPr>
        <w:t xml:space="preserve">т 20 ноября 2008 г. № 1089 </w:t>
        <w:br/>
        <w:t xml:space="preserve">«О комиссии по проведению аукционов по продаже земельных участков, находящихся </w:t>
        <w:br/>
        <w:t xml:space="preserve">в муниципальной собственности города Перми, и участков, собственность на которые </w:t>
        <w:br/>
        <w:t xml:space="preserve">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</w:t>
        <w:br/>
        <w:t xml:space="preserve">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</w:t>
        <w:br/>
        <w:t xml:space="preserve">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85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07.07.2025 № 059-19-01-11-82.</w:t>
      </w:r>
      <w:r>
        <w:rPr>
          <w:sz w:val="24"/>
          <w:szCs w:val="24"/>
        </w:rPr>
      </w:r>
    </w:p>
    <w:p>
      <w:pPr>
        <w:pStyle w:val="831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85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8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5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8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5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8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5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 xml:space="preserve">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12" w:tooltip="http://www.gorodperm.ru/" w:history="1">
        <w:r>
          <w:rPr>
            <w:rStyle w:val="785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8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5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85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85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85"/>
            <w:sz w:val="24"/>
            <w:szCs w:val="24"/>
          </w:rPr>
          <w:t xml:space="preserve">http</w:t>
        </w:r>
        <w:r>
          <w:rPr>
            <w:rStyle w:val="785"/>
            <w:sz w:val="24"/>
            <w:szCs w:val="24"/>
            <w:lang w:val="ru-RU"/>
          </w:rPr>
          <w:t xml:space="preserve">://</w:t>
        </w:r>
        <w:r>
          <w:rPr>
            <w:rStyle w:val="785"/>
            <w:sz w:val="24"/>
            <w:szCs w:val="24"/>
          </w:rPr>
          <w:t xml:space="preserve">utp</w:t>
        </w:r>
        <w:r>
          <w:rPr>
            <w:rStyle w:val="785"/>
            <w:sz w:val="24"/>
            <w:szCs w:val="24"/>
            <w:lang w:val="ru-RU"/>
          </w:rPr>
          <w:t xml:space="preserve">.</w:t>
        </w:r>
        <w:r>
          <w:rPr>
            <w:rStyle w:val="785"/>
            <w:sz w:val="24"/>
            <w:szCs w:val="24"/>
          </w:rPr>
          <w:t xml:space="preserve">sberbank</w:t>
        </w:r>
        <w:r>
          <w:rPr>
            <w:rStyle w:val="785"/>
            <w:sz w:val="24"/>
            <w:szCs w:val="24"/>
            <w:lang w:val="ru-RU"/>
          </w:rPr>
          <w:t xml:space="preserve">-</w:t>
        </w:r>
        <w:r>
          <w:rPr>
            <w:rStyle w:val="785"/>
            <w:sz w:val="24"/>
            <w:szCs w:val="24"/>
          </w:rPr>
          <w:t xml:space="preserve">ast</w:t>
        </w:r>
        <w:r>
          <w:rPr>
            <w:rStyle w:val="785"/>
            <w:sz w:val="24"/>
            <w:szCs w:val="24"/>
            <w:lang w:val="ru-RU"/>
          </w:rPr>
          <w:t xml:space="preserve">.</w:t>
        </w:r>
        <w:r>
          <w:rPr>
            <w:rStyle w:val="785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702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85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85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85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85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702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85"/>
          <w:bCs/>
          <w:sz w:val="24"/>
          <w:szCs w:val="24"/>
          <w:lang w:val="en-US"/>
        </w:rPr>
        <w:t xml:space="preserve">dzo</w:t>
      </w:r>
      <w:r>
        <w:rPr>
          <w:rStyle w:val="785"/>
          <w:bCs/>
          <w:sz w:val="24"/>
          <w:szCs w:val="24"/>
        </w:rPr>
        <w:t xml:space="preserve">@</w:t>
      </w:r>
      <w:r>
        <w:rPr>
          <w:rStyle w:val="785"/>
          <w:bCs/>
          <w:sz w:val="24"/>
          <w:szCs w:val="24"/>
          <w:lang w:val="en-US"/>
        </w:rPr>
        <w:t xml:space="preserve">perm</w:t>
      </w:r>
      <w:r>
        <w:rPr>
          <w:rStyle w:val="785"/>
          <w:bCs/>
          <w:sz w:val="24"/>
          <w:szCs w:val="24"/>
        </w:rPr>
        <w:t xml:space="preserve">.</w:t>
      </w:r>
      <w:r>
        <w:rPr>
          <w:rStyle w:val="785"/>
          <w:bCs/>
          <w:sz w:val="24"/>
          <w:szCs w:val="24"/>
          <w:lang w:val="en-US"/>
        </w:rPr>
        <w:t xml:space="preserve">permkrai</w:t>
      </w:r>
      <w:r>
        <w:rPr>
          <w:rStyle w:val="785"/>
          <w:bCs/>
          <w:sz w:val="24"/>
          <w:szCs w:val="24"/>
        </w:rPr>
        <w:t xml:space="preserve">.</w:t>
      </w:r>
      <w:r>
        <w:rPr>
          <w:rStyle w:val="785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70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02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1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02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02"/>
        <w:ind w:right="-263"/>
        <w:tabs>
          <w:tab w:val="clear" w:pos="708" w:leader="none"/>
          <w:tab w:val="left" w:pos="5103" w:leader="none"/>
        </w:tabs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 xml:space="preserve">Лот № 1 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702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 от 09 апреля 2025 г. № 21-01-03-3061 </w:t>
              <w:br/>
              <w:t xml:space="preserve">«О проведении аукциона на право заключения договора аренды земельного участка в Свердловском районе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от 26 мая 2025 г. № 21-01-03-4463 </w:t>
              <w:br/>
              <w:t xml:space="preserve">«О внесении изменений в отдельные распоряжения начальника департамента земельных отношений администрации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жилой район Ново-</w:t>
            </w:r>
            <w:r>
              <w:rPr>
                <w:sz w:val="24"/>
                <w:szCs w:val="24"/>
              </w:rPr>
              <w:t xml:space="preserve">Бродовский, улица Малиновая, з/у 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spacing w:after="0" w:afterAutospacing="1"/>
              <w:tabs>
                <w:tab w:val="left" w:pos="8256" w:leader="none"/>
              </w:tabs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59:01:5010065:126</w:t>
            </w: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</w:t>
            </w:r>
            <w:r>
              <w:rPr>
                <w:sz w:val="24"/>
                <w:szCs w:val="24"/>
              </w:rPr>
              <w:t xml:space="preserve">23.06.2025</w:t>
            </w:r>
            <w:r>
              <w:rPr>
                <w:sz w:val="24"/>
                <w:szCs w:val="24"/>
              </w:rPr>
              <w:t xml:space="preserve"> </w:t>
              <w:br/>
              <w:t xml:space="preserve">№ </w:t>
            </w:r>
            <w:r>
              <w:rPr>
                <w:sz w:val="24"/>
                <w:szCs w:val="24"/>
              </w:rPr>
              <w:t xml:space="preserve">КУВИ-001/2025-127412027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  <w:br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</w:t>
            </w:r>
            <w:r>
              <w:rPr>
                <w:sz w:val="24"/>
                <w:szCs w:val="24"/>
              </w:rPr>
              <w:t xml:space="preserve">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копией планшета М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(требующего корректуры) </w:t>
              <w:br/>
              <w:t xml:space="preserve">и геодезической съемкой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ходе визуаль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ного осмотра установлено, что Участок ограждений не имеет, на территории расположена дикорастущая травянистая и древесно-кустарниковая растительность, лесной массив, имеются признаки зарастания более 50 % площади земельного участка дикорастущими деревьями.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Самовольно возведенных объектов капитального строительства, незаконно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размещенных движимых объектов, в отношении которых планируется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сноса и демонтажа в установленном порядке, на указанной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территории, не выявлено.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водоемы) расположены: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ул. Виноградная, 22, емкость 100 куб.м, собственник (гарантирующая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организация) ЖК «Янтарный»;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 ул. Ореховая, 102, емкость 100 куб.м, муниципальная собственность.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Свердловского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16.06.2025 № 059-39-01-30/3-287,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акту выездного обследования от 10.06.2025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справке по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635733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риаэродромной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дрома аэропорта Большое Савино,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</w:t>
              <w:br/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(размещения) отходов, животноводческие фермы, скотобойни и другие объекты, способствующие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скоплению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пихта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береза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хвойной -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20.03.2025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период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 2028 года схемами не предусмотрено строительство сетей водоснабжения и водоотведения </w:t>
              <w:br/>
              <w:t xml:space="preserve">в мкр. Новобродовский.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 xml:space="preserve">в отношении рассматриваемой территории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 xml:space="preserve">для обеспечения доступа к Земельным участкам.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настоящее время условия примыкания Земельных участков к улично-дорожной сети города Перми отсутствуют.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14.03.2025 № 059-24-01-36/3-863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противопожарного водоснабжения (пожарный водоем) расположен по ул. Виноградная, 24, 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 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 xml:space="preserve">о требованиях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</w:t>
              <w:br/>
              <w:t xml:space="preserve">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ff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ff0000" w:themeColor="text1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14.03.2025 № 059-10-01-27/3-601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02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</w:t>
              <w:br/>
              <w:t xml:space="preserve">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или) душевые, туалет (уборную)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 </w:t>
              <w:br/>
              <w:t xml:space="preserve">(далее – ГПЗУ),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95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85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0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        <w:br/>
              <w:t xml:space="preserve">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Правил </w:t>
              <w:br/>
              <w:t xml:space="preserve">ТП технологическое присоединение осуществляется </w:t>
              <w:br/>
              <w:t xml:space="preserve"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сроки, установленные настоящими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на подключение </w:t>
              <w:br/>
              <w:t xml:space="preserve">к электрическим сетям без подачи заявки на технологическое присоединение.</w:t>
            </w:r>
            <w:r/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за технологическое присоединение определяется по утвержденным тарифам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Министерства тарифного регулирования </w:t>
              <w:br/>
              <w:t xml:space="preserve">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</w:t>
              <w:br/>
              <w:t xml:space="preserve">и энергетики Пермского края от 29.11.2022 №111-тп.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говора на технологическое присоединение необходимо направить в адрес филиала ПАО «Россети Урал» –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 xml:space="preserve">и приложением необходимых документов в соответствии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left="0" w:right="0" w:firstLine="36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26.03.2025 </w:t>
              <w:br/>
              <w:t xml:space="preserve">№ ПЭ/ПГЭС/01/22/3455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</w:t>
              <w:br/>
              <w:t xml:space="preserve">№ ПФ-1780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</w:t>
            </w:r>
            <w:r>
              <w:rPr>
                <w:rFonts w:ascii="Times New Roman" w:hAnsi="Times New Roman"/>
                <w:sz w:val="24"/>
              </w:rPr>
              <w:t xml:space="preserve">, 15 ориентировочно </w:t>
              <w:br/>
              <w:t xml:space="preserve">на расстоянии – 10,0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 xml:space="preserve">на расстоянии – 11,0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трализованной системе канализации г. Перми (отвод стоков </w:t>
              <w:br/>
              <w:t xml:space="preserve"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17.03.2025 № 110-3429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18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51000-32-</w:t>
            </w:r>
            <w:r>
              <w:rPr>
                <w:rFonts w:ascii="Times New Roman" w:hAnsi="Times New Roman"/>
                <w:sz w:val="24"/>
              </w:rPr>
              <w:t xml:space="preserve">00857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059-04-25/3-</w:t>
            </w:r>
            <w:r>
              <w:rPr>
                <w:rFonts w:ascii="Times New Roman" w:hAnsi="Times New Roman"/>
                <w:sz w:val="24"/>
              </w:rPr>
              <w:t xml:space="preserve">43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ПАО «Ростелеком» </w:t>
            </w:r>
            <w:r>
              <w:rPr>
                <w:rFonts w:ascii="Times New Roman" w:hAnsi="Times New Roman"/>
                <w:sz w:val="24"/>
              </w:rPr>
              <w:t xml:space="preserve">может быть произведено </w:t>
              <w:br/>
              <w:t xml:space="preserve">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01/05/</w:t>
            </w:r>
            <w:r>
              <w:rPr>
                <w:rFonts w:ascii="Times New Roman" w:hAnsi="Times New Roman"/>
                <w:sz w:val="24"/>
              </w:rPr>
              <w:t xml:space="preserve">41954</w:t>
            </w:r>
            <w:r>
              <w:rPr>
                <w:rFonts w:ascii="Times New Roman" w:hAnsi="Times New Roman"/>
                <w:sz w:val="24"/>
              </w:rPr>
              <w:t xml:space="preserve">/2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  <w:t xml:space="preserve"> к настоящему извещению), победитель аукциона, иное лицо, </w:t>
              <w:br/>
              <w:t xml:space="preserve">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29 550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9" w:tooltip="http://www.torgi.gov.ru/" w:history="1">
              <w:r>
                <w:rPr>
                  <w:rStyle w:val="785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85"/>
                  <w:sz w:val="24"/>
                  <w:szCs w:val="24"/>
                </w:rPr>
                <w:t xml:space="preserve">.</w:t>
              </w:r>
              <w:r>
                <w:rPr>
                  <w:rStyle w:val="785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85"/>
                  <w:sz w:val="24"/>
                  <w:szCs w:val="24"/>
                </w:rPr>
                <w:t xml:space="preserve">.</w:t>
              </w:r>
              <w:r>
                <w:rPr>
                  <w:rStyle w:val="785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85"/>
                  <w:sz w:val="24"/>
                  <w:szCs w:val="24"/>
                </w:rPr>
                <w:t xml:space="preserve">.</w:t>
              </w:r>
              <w:r>
                <w:rPr>
                  <w:rStyle w:val="785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9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принято </w:t>
              <w:br/>
              <w:t xml:space="preserve">в соответствии со статьей 39.11 Кодекса, аукцион является открытым по составу участников.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</w:p>
          <w:p>
            <w:pPr>
              <w:pStyle w:val="79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2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02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702"/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Лот № 2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702"/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 от 09 апреля 2025 г. № 21-01-03-3093 </w:t>
              <w:br/>
              <w:t xml:space="preserve">«О проведении аукциона на право заключения договора аренды земельного участка в Свердловском районе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от 26 мая 2025 г. № 21-01-03-4463 </w:t>
              <w:br/>
              <w:t xml:space="preserve">«О внесении изменений в отдельные распоряжения начальника департамента земельных отношений администрации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8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жилой район Ново-</w:t>
            </w:r>
            <w:r>
              <w:rPr>
                <w:sz w:val="24"/>
                <w:szCs w:val="24"/>
              </w:rPr>
              <w:t xml:space="preserve">Бродовский, улица Малиновая, з/у 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8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8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spacing w:after="0" w:afterAutospacing="1"/>
              <w:tabs>
                <w:tab w:val="left" w:pos="8256" w:leader="none"/>
              </w:tabs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59:01:5010065:146</w:t>
            </w: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8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8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8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9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</w:t>
            </w:r>
            <w:r>
              <w:rPr>
                <w:color w:val="000000" w:themeColor="text1"/>
                <w:sz w:val="24"/>
                <w:szCs w:val="24"/>
              </w:rPr>
              <w:t xml:space="preserve">27.06.2025</w:t>
            </w:r>
            <w:r>
              <w:rPr>
                <w:color w:val="000000" w:themeColor="text1"/>
                <w:sz w:val="24"/>
                <w:szCs w:val="24"/>
              </w:rPr>
              <w:t xml:space="preserve">г. </w:t>
              <w:br/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 xml:space="preserve">КУВИ-001/2025-130256543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  <w:br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</w:t>
            </w:r>
            <w:r>
              <w:rPr>
                <w:sz w:val="24"/>
                <w:szCs w:val="24"/>
              </w:rPr>
              <w:t xml:space="preserve">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копией планшета М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(требующего корректуры) </w:t>
              <w:br/>
              <w:t xml:space="preserve">и геодезической съемкой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ходе визуаль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ного осмотра установлено, что Участок ограждений не имеет, на территории расположена дикорастущая травянистая и древесно-кустарниковая растительность, лесной массив, имеются признаки зарастания более 50 % площади земельного участка дикорастущими деревьями.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Самовольно возведенных объектов капитального строительства, незаконно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размещенных движимых объектов, в отношении которых планируется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сноса и демонтажа в установленном порядке, на указанной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территории, не выявлено.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водоемы) расположены: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ул. Виноградная, 22, емкость 100 куб.м, собственник (гарантирующая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организация) ЖК «Янтарный»;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 ул. Ореховая, 102, емкость 100 куб.м, муниципальная собственность.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Свердловского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16.06.2025 № 059-39-01-30/3-287,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акту выездного обследования от 10.06.2025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справке по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636329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риаэродромной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дрома аэропорта Большое Савино,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</w:t>
              <w:br/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(размещения) отходов, животноводческие фермы, скотобойни и другие объекты, способствующие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скоплению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Участке произрастает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пихта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береза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хвойной -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20.03.2025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период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 2028 года схемами не предусмотрено строительство сетей водоснабжения и водоотведения </w:t>
              <w:br/>
              <w:t xml:space="preserve">в мкр. Новобродовский.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 xml:space="preserve">в отношении рассматриваемой территории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 xml:space="preserve">для обеспечения доступа к Земельным участкам.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настоящее время условия примыкания Земельных участков к улично-дорожной сети города Перми отсутствуют.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14.03.2025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059-24-01-36/3-863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противопожарного водоснабжения (пожарный водоем) расположен по ул. Виноградная, 24, 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 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 xml:space="preserve">о требованиях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</w:t>
              <w:br/>
              <w:t xml:space="preserve">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14.03.2025 № 059-10-01-27/3-601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8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02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</w:t>
              <w:br/>
              <w:t xml:space="preserve">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или) душевые, туалет (уборную)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 </w:t>
              <w:br/>
              <w:t xml:space="preserve">(далее – ГПЗУ),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95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8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ooltip="http://www.gorodperm.ru/" w:history="1">
              <w:r>
                <w:rPr>
                  <w:rStyle w:val="785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0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        <w:br/>
              <w:t xml:space="preserve">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Правил </w:t>
              <w:br/>
              <w:t xml:space="preserve">ТП технологическое присоединение осуществляется </w:t>
              <w:br/>
              <w:t xml:space="preserve"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сроки, установленные настоящими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на подключение </w:t>
              <w:br/>
              <w:t xml:space="preserve">к электрическим сетям без подачи заявки </w:t>
              <w:br/>
              <w:t xml:space="preserve">на технологическое присоединение.</w:t>
            </w:r>
            <w:r/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за технологическое присоединение определяется по утвержденным тарифам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Министерства тарифного регулирования </w:t>
              <w:br/>
              <w:t xml:space="preserve">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</w:t>
              <w:br/>
              <w:t xml:space="preserve">и энергетики Пермского края от 29.11.2022 №111-тп.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говора на технологическое присоединение необходимо направить в адрес филиала ПАО «Россети Урал» –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 xml:space="preserve">и приложением необходимых документов в соответствии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26.03.2025 </w:t>
              <w:br/>
              <w:t xml:space="preserve">№ ПЭ/ПГЭС/01/22/3455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</w:t>
              <w:br/>
              <w:t xml:space="preserve">№ ПФ-1780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</w:t>
            </w:r>
            <w:r>
              <w:rPr>
                <w:rFonts w:ascii="Times New Roman" w:hAnsi="Times New Roman"/>
                <w:sz w:val="24"/>
              </w:rPr>
              <w:t xml:space="preserve">, 15 ориентировочно </w:t>
              <w:br/>
              <w:t xml:space="preserve">на расстоянии – 10,0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 xml:space="preserve">на расстоянии – 11,0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трализованной системе канализации г. Перми (отвод стоков </w:t>
              <w:br/>
              <w:t xml:space="preserve"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17.03.2025 № 110-3429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18.03.</w:t>
            </w:r>
            <w:r>
              <w:rPr>
                <w:rFonts w:ascii="Times New Roman" w:hAnsi="Times New Roman"/>
                <w:sz w:val="24"/>
              </w:rPr>
              <w:t xml:space="preserve">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№ 51000-32-</w:t>
            </w:r>
            <w:r>
              <w:rPr>
                <w:rFonts w:ascii="Times New Roman" w:hAnsi="Times New Roman"/>
                <w:sz w:val="24"/>
              </w:rPr>
              <w:t xml:space="preserve">00857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059-04-25/3-</w:t>
            </w:r>
            <w:r>
              <w:rPr>
                <w:rFonts w:ascii="Times New Roman" w:hAnsi="Times New Roman"/>
                <w:sz w:val="24"/>
              </w:rPr>
              <w:t xml:space="preserve">43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ПАО «Ростелеком» </w:t>
            </w:r>
            <w:r>
              <w:rPr>
                <w:rFonts w:ascii="Times New Roman" w:hAnsi="Times New Roman"/>
                <w:sz w:val="24"/>
              </w:rPr>
              <w:t xml:space="preserve">может быть произведено </w:t>
              <w:br/>
              <w:t xml:space="preserve">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01/05/</w:t>
            </w:r>
            <w:r>
              <w:rPr>
                <w:rFonts w:ascii="Times New Roman" w:hAnsi="Times New Roman"/>
                <w:sz w:val="24"/>
              </w:rPr>
              <w:t xml:space="preserve">41954</w:t>
            </w:r>
            <w:r>
              <w:rPr>
                <w:rFonts w:ascii="Times New Roman" w:hAnsi="Times New Roman"/>
                <w:sz w:val="24"/>
              </w:rPr>
              <w:t xml:space="preserve">/2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3 к настоящему извещению), победитель аукциона, иное лицо, </w:t>
              <w:br/>
              <w:t xml:space="preserve">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29 550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1" w:tooltip="http://www.torgi.gov.ru/" w:history="1">
              <w:r>
                <w:rPr>
                  <w:rStyle w:val="785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85"/>
                  <w:sz w:val="24"/>
                  <w:szCs w:val="24"/>
                </w:rPr>
                <w:t xml:space="preserve">.</w:t>
              </w:r>
              <w:r>
                <w:rPr>
                  <w:rStyle w:val="785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85"/>
                  <w:sz w:val="24"/>
                  <w:szCs w:val="24"/>
                </w:rPr>
                <w:t xml:space="preserve">.</w:t>
              </w:r>
              <w:r>
                <w:rPr>
                  <w:rStyle w:val="785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85"/>
                  <w:sz w:val="24"/>
                  <w:szCs w:val="24"/>
                </w:rPr>
                <w:t xml:space="preserve">.</w:t>
              </w:r>
              <w:r>
                <w:rPr>
                  <w:rStyle w:val="785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9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принято </w:t>
              <w:br/>
              <w:t xml:space="preserve">в соответствии со статьей 39.11 Кодекса, аукцион является открытым по составу участников.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</w:p>
          <w:p>
            <w:pPr>
              <w:pStyle w:val="79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</w:t>
            </w: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702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3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702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 от 09 апреля 2025 г. № 21-01-03-3087 </w:t>
              <w:br/>
              <w:t xml:space="preserve">«О проведении аукциона на право заключения договора аренды земельного участка в Свердловском районе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от 26 мая 2025 г. № 21-01-03-4463 </w:t>
              <w:br/>
              <w:t xml:space="preserve">«О внесении изменений в отдельные распоряжения начальника департамента земельных отношений администрации города Перми»,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  <w:r>
              <w:rPr>
                <w:rFonts w:eastAsia="Droid Sans Fallback" w:cs="Lohit Devanagari"/>
                <w:color w:val="auto"/>
                <w:sz w:val="24"/>
                <w:szCs w:val="24"/>
                <w:highlight w:val="none"/>
                <w:lang w:val="ru-RU" w:eastAsia="zh-CN" w:bidi="ar-SA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10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</w:t>
            </w:r>
            <w:r>
              <w:rPr>
                <w:sz w:val="24"/>
                <w:szCs w:val="24"/>
              </w:rPr>
              <w:t xml:space="preserve">жилой район Ново-</w:t>
            </w:r>
            <w:r>
              <w:rPr>
                <w:sz w:val="24"/>
                <w:szCs w:val="24"/>
              </w:rPr>
              <w:t xml:space="preserve">Бродовский, улица Малиновая, з/у 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10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10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spacing w:after="0" w:afterAutospacing="1"/>
              <w:tabs>
                <w:tab w:val="left" w:pos="8256" w:leader="none"/>
              </w:tabs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59:01:5010065:127</w:t>
            </w:r>
            <w:r>
              <w:rPr>
                <w:color w:val="ff0000"/>
                <w:sz w:val="24"/>
                <w:szCs w:val="24"/>
                <w:highlight w:val="white"/>
              </w:rPr>
            </w:r>
            <w:r>
              <w:rPr>
                <w:color w:val="ff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10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10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10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11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</w:t>
            </w:r>
            <w:r>
              <w:rPr>
                <w:sz w:val="24"/>
                <w:szCs w:val="24"/>
              </w:rPr>
              <w:t xml:space="preserve">27.06.2025</w:t>
            </w:r>
            <w:r>
              <w:rPr>
                <w:sz w:val="24"/>
                <w:szCs w:val="24"/>
              </w:rPr>
              <w:t xml:space="preserve">г. </w:t>
              <w:br/>
              <w:t xml:space="preserve">№ </w:t>
            </w:r>
            <w:r>
              <w:rPr>
                <w:sz w:val="24"/>
                <w:szCs w:val="24"/>
              </w:rPr>
              <w:t xml:space="preserve">КУВИ-001/2025-130230490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 </w:t>
              <w:br/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</w:t>
            </w:r>
            <w:r>
              <w:rPr>
                <w:sz w:val="24"/>
                <w:szCs w:val="24"/>
              </w:rPr>
              <w:t xml:space="preserve">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left="0" w:right="0" w:firstLine="2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сведениями из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копией планшета М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(требующего корректуры) </w:t>
              <w:br/>
              <w:t xml:space="preserve">и геодезической съемкой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Участка объекты капиталь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 ходе визуаль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ного осмотра установлено, что Участок ограждений не имеет, на территории расположена дикорастущая травянистая и древесно-кустарниковая растительность, лесной массив, имеются признаки зарастания более 50 % площади земельного участка дикорастущими деревьями.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Самовольно возведенных объектов капитального строительства, незаконно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размещенных движимых объектов, в отношении которых планируется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 сноса и демонтажа в установленном порядке, на указанной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территории, не выявлено.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Ближайшие источники противопожарного водоснабжения (пожарные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водоемы) расположены: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ул. Виноградная, 22, емкость 100 куб.м, собственник (гарантирующая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организация) ЖК «Янтарный»;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 ул. Ореховая, 102, емкость 100 куб.м, муниципальная собственность.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Свердловского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16.06.2025 № 059-39-01-30/3-287,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акту выездного обследования от 10.06.2025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сведениям,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содержащимся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и справке по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ительным условиям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636220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Участок расположен в границах зон с особыми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условиями использования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риаэродромной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дрома аэропорта Большое Савино,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59:32-6.553.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вести </w:t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постановлением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11.03.2010 № 138 </w:t>
              <w:br/>
              <w:t xml:space="preserve">«Об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(размещения) отходов, животноводческие фермы, скотобойни и другие объекты, способствующие привлече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скоплению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Участке произрастает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пихта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шт., 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береза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сносимых зеленых насаждений в ценах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года: одного лиственного дерева от 25 тыс. руб., хвойной -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20.03.2025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059-33-01-10/3-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На период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до 2028 года схемами не предусмотрено строительство сетей водоснабжения и водоотведения </w:t>
              <w:br/>
              <w:t xml:space="preserve">в мкр. Новобродовский.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059-04-17/3-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Бюджетом города Перми на период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сообщается, постановлением администрации города Перми от 22.12.2017 № 1178 </w:t>
              <w:br/>
              <w:t xml:space="preserve">в отношении рассматриваемой территории утверждены проект планировки территории и проект межевания территории.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Проектом планировки территории не предусмотрено установление красных линий, обозначающих территории общего пользования (улицы, проезды), </w:t>
              <w:br/>
              <w:t xml:space="preserve">для обеспечения доступа к Земельным участкам.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настоящее время условия примыкания Земельных участков к улично-дорожной сети города Перми отсутствуют.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059-24-01-36/3-863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противопожарного водоснабжения (пожарный водоем) расположен по ул. Виноградная, 24, 26.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аварийно-спасательных служб </w:t>
              <w:br/>
              <w:t xml:space="preserve">и (или) аварийно- спасательных формирований </w:t>
              <w:br/>
              <w:t xml:space="preserve">на указанной территории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 xml:space="preserve">от 21 декабря 1994 г. № 69-ФЗ «О пожарной безопасности» и от 22 июля 2008 г. № 123-ФЗ «Технический регламент </w:t>
              <w:br/>
              <w:t xml:space="preserve">о требованиях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№ 225, Свода правил 4.13130 «Системы проти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опожарной защиты. Ограничение распространения пожара на объектах защиты. Требования </w:t>
              <w:br/>
              <w:t xml:space="preserve">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(Новобродо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вский) отсутствует. Ближайший участковый пункт расположен по адресу: город Пермь, ул. Казахская, 104, (микрорайон Южный, Свердловский район). В настоящее время в указанном микрорайоне, строительство (приобретение) участковых пунктов полиции не планируется.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14.03.2025 № 059-10-01-27/3-601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10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702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и строительство необходимо вести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4.5 СП 55.13330.2016 Свода Правил. Дома жилые одноквартирные. СНиП 31-02-2001,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введенным в действие Приказом Министерства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хозяйства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20.10.2016 </w:t>
              <w:br/>
              <w:t xml:space="preserve">№ 725/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17.05.2023):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должен включать жилые комнаты – одну или несколько (общую комнату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гостиную, спальню),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вспомогательные помещения: переднюю, кухню (в том числе кухню-столовую и (или) кухню-нишу), ванные комнаты </w:t>
              <w:br/>
              <w:t xml:space="preserve">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или) душевые, туалет (уборную)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совмещенный санузел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переднюю.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right="-57" w:firstLine="311"/>
              <w:jc w:val="both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менее: общей комнаты </w:t>
              <w:br/>
              <w:t xml:space="preserve">в однокомнатном доме - 14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спальни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 двух человек - 10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кухни - 8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домах с одной комнатой допускается проектировать кухни или кухни-ниши площадью не менее 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спальни и кухни </w:t>
              <w:br/>
              <w:t xml:space="preserve">в мансардном этаже (или этаже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наклонными ограждающими конструкциями) допускается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  <w:br/>
              <w:t xml:space="preserve">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информации, содержащейся </w:t>
              <w:br/>
              <w:t xml:space="preserve">в градостроительно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плане земельного участка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РФ-59-2-03-0-00-202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 </w:t>
              <w:br/>
              <w:t xml:space="preserve">(далее – ГПЗУ), 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высота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даний, строений не более 10,5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 земельного участка </w:t>
              <w:br/>
              <w:t xml:space="preserve">до места допустимого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зданий, строений,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ием границ со стороны территории общего пользования, где отступ определяется </w:t>
              <w:br/>
              <w:t xml:space="preserve">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1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95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70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10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2" w:tooltip="http://www.gorodperm.ru/" w:history="1">
              <w:r>
                <w:rPr>
                  <w:rStyle w:val="785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02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технологического присоединения установлен Правилами технологического присоединения энергопринимающих устройств потребителей электрической энергии, объектов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</w:t>
              <w:br/>
              <w:t xml:space="preserve">от 27.12.2004 № 861 (далее – Правила ТП).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6 Правил </w:t>
              <w:br/>
              <w:t xml:space="preserve">ТП технологическое присоединение осуществляется </w:t>
              <w:br/>
              <w:t xml:space="preserve">на основании договора об осуществлении технологического присоединения, заключаемого между сетевой организацией и юридическим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лицом, в сроки, установленные настоящими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вилами ТП не предусмотрена подготовка и выдача сетевой организацией частным лицам либо органам местного самоуправления каких-либо предварительных технических условий на подключение </w:t>
              <w:br/>
              <w:t xml:space="preserve">к электрическим сетям без подачи заявки на технологическое присоединение.</w:t>
            </w:r>
            <w:r/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платы за технологическое присоединение определяется по утвержденным тарифам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Министерства тарифного регулирования </w:t>
              <w:br/>
              <w:t xml:space="preserve">и энергетики Пермского края, действующего на момент заключения договора. В настоящий момент действует Постановление Министерства тарифного регулирования </w:t>
              <w:br/>
              <w:t xml:space="preserve">и энергетики Пермского края от 29.11.2022 №111-тп.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для получения технических условий </w:t>
              <w:br/>
              <w:t xml:space="preserve">и заключения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говора на технологическое присоединение необходимо направить в адрес филиала ПАО «Россети Урал» – «Пермэнерго» соответствующую заявку </w:t>
              <w:br/>
              <w:t xml:space="preserve">на технологическое присоединение с указанием сведений </w:t>
              <w:br/>
              <w:t xml:space="preserve">и приложением необходимых документов в соответствии Правилами ТП.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Заявку на технологическое присоединение можно подать через единый федеральный портал электросетевых услуг группы компаний, «Россети»-ПОРТАЛ-ТП.РФ.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26.03.2025 </w:t>
              <w:br/>
              <w:t xml:space="preserve">№ ПЭ/ПГЭС/01/22/3455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19.03.2025 </w:t>
              <w:br/>
              <w:t xml:space="preserve">№ ПФ-1780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водоснабжения, эксплуатируемые </w:t>
              <w:br/>
              <w:t xml:space="preserve">ООО «НОВОГОР-Прикамье», располагаются в районе здания по Бродовскому тракту</w:t>
            </w:r>
            <w:r>
              <w:rPr>
                <w:rFonts w:ascii="Times New Roman" w:hAnsi="Times New Roman"/>
                <w:sz w:val="24"/>
              </w:rPr>
              <w:t xml:space="preserve">, 15 ориентировочно </w:t>
              <w:br/>
              <w:t xml:space="preserve">на расстоянии – 10,0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2"/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Ближайшей сети водоотведения, эксплуатируемые </w:t>
              <w:br/>
              <w:t xml:space="preserve">ООО «НОВОГОР-Прикамье», располагаются в районе зданий по ул. Героев Хасана, 109/2 ориентировочно </w:t>
              <w:br/>
              <w:t xml:space="preserve">на расстоянии – 11,0 км от Участка.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702"/>
              <w:ind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проектировании может быть применен альтернативный способ водоснабжения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трализованной системе канализации г. Перми (отвод стоков </w:t>
              <w:br/>
              <w:t xml:space="preserve">на локальные очистные сооружения, канализование объекта в выгребную яму с последующим вывозом стоков спец. машинами)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 xml:space="preserve">17.03.2025 № 110-3429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18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</w:t>
              <w:br/>
              <w:t xml:space="preserve">№ 51000-32-</w:t>
            </w:r>
            <w:r>
              <w:rPr>
                <w:rFonts w:ascii="Times New Roman" w:hAnsi="Times New Roman"/>
                <w:sz w:val="24"/>
              </w:rPr>
              <w:t xml:space="preserve">00857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20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059-04-25/3-</w:t>
            </w:r>
            <w:r>
              <w:rPr>
                <w:rFonts w:ascii="Times New Roman" w:hAnsi="Times New Roman"/>
                <w:sz w:val="24"/>
              </w:rPr>
              <w:t xml:space="preserve">43</w:t>
            </w:r>
            <w:r>
              <w:rPr>
                <w:rFonts w:ascii="Times New Roman" w:hAnsi="Times New Roman"/>
                <w:sz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</w:rPr>
              <w:t xml:space="preserve">Технологическое присоединение к сетям связи </w:t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ПАО «Ростелеком» </w:t>
            </w:r>
            <w:r>
              <w:rPr>
                <w:rFonts w:ascii="Times New Roman" w:hAnsi="Times New Roman"/>
                <w:sz w:val="24"/>
              </w:rPr>
              <w:t xml:space="preserve">может быть произведено </w:t>
              <w:br/>
              <w:t xml:space="preserve">в точке подключения </w:t>
            </w:r>
            <w:r>
              <w:rPr>
                <w:rFonts w:ascii="Times New Roman" w:hAnsi="Times New Roman"/>
                <w:sz w:val="24"/>
              </w:rPr>
              <w:t xml:space="preserve">узел ВОЛС (г. Пермь, ул. Патриса Лумумбы, 6), максимальную нагрузку в точке подключения (технологического подключения) определить на стадии проектирования.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 xml:space="preserve">17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03</w:t>
            </w:r>
            <w:r>
              <w:rPr>
                <w:rFonts w:ascii="Times New Roman" w:hAnsi="Times New Roman"/>
                <w:sz w:val="24"/>
              </w:rPr>
              <w:t xml:space="preserve">.202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№ 01/05/</w:t>
            </w:r>
            <w:r>
              <w:rPr>
                <w:rFonts w:ascii="Times New Roman" w:hAnsi="Times New Roman"/>
                <w:sz w:val="24"/>
              </w:rPr>
              <w:t xml:space="preserve">41954</w:t>
            </w:r>
            <w:r>
              <w:rPr>
                <w:rFonts w:ascii="Times New Roman" w:hAnsi="Times New Roman"/>
                <w:sz w:val="24"/>
              </w:rPr>
              <w:t xml:space="preserve">/2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4 к настоящему извещению), победитель аукциона, иное лицо, </w:t>
              <w:br/>
              <w:t xml:space="preserve">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</w:t>
              <w:br/>
              <w:t xml:space="preserve">ул. Сибирская,15, </w:t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31 700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3" w:tooltip="http://www.torgi.gov.ru/" w:history="1">
              <w:r>
                <w:rPr>
                  <w:rStyle w:val="785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85"/>
                  <w:sz w:val="24"/>
                  <w:szCs w:val="24"/>
                </w:rPr>
                <w:t xml:space="preserve">.</w:t>
              </w:r>
              <w:r>
                <w:rPr>
                  <w:rStyle w:val="785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85"/>
                  <w:sz w:val="24"/>
                  <w:szCs w:val="24"/>
                </w:rPr>
                <w:t xml:space="preserve">.</w:t>
              </w:r>
              <w:r>
                <w:rPr>
                  <w:rStyle w:val="785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85"/>
                  <w:sz w:val="24"/>
                  <w:szCs w:val="24"/>
                </w:rPr>
                <w:t xml:space="preserve">.</w:t>
              </w:r>
              <w:r>
                <w:rPr>
                  <w:rStyle w:val="785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9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проведении аукциона принято </w:t>
              <w:br/>
              <w:t xml:space="preserve">в соответствии со статьей 39.11 Кодекса, аукцион является открытым по составу участников.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:shd w:val="clear" w:color="auto" w:fill="auto"/>
                <w14:ligatures w14:val="none"/>
              </w:rPr>
            </w:r>
          </w:p>
          <w:p>
            <w:pPr>
              <w:pStyle w:val="79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317 000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0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</w:t>
            </w: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</w:t>
              <w:br/>
              <w:t xml:space="preserve">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702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7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702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702"/>
        <w:contextualSpacing/>
        <w:ind w:left="0"/>
        <w:jc w:val="center"/>
        <w:spacing w:before="0" w:after="0"/>
        <w:widowControl w:val="off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702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</w:t>
      </w:r>
      <w:r>
        <w:rPr>
          <w:rFonts w:eastAsia="Courier New"/>
          <w:b/>
          <w:lang w:bidi="ru-RU"/>
        </w:rPr>
        <w:t xml:space="preserve">9.07.2025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12.08.2025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13.08.2025.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14.08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highlight w:val="none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highlight w:val="none"/>
        </w:rPr>
      </w:r>
      <w:r>
        <w:rPr>
          <w:highlight w:val="none"/>
        </w:rPr>
      </w:r>
    </w:p>
    <w:p>
      <w:pPr>
        <w:pStyle w:val="702"/>
        <w:jc w:val="both"/>
        <w:widowControl w:val="off"/>
      </w:pPr>
      <w:r/>
      <w:r/>
    </w:p>
    <w:p>
      <w:pPr>
        <w:pStyle w:val="702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702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02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702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702"/>
        <w:ind w:left="-567" w:firstLine="709"/>
        <w:jc w:val="both"/>
        <w:widowControl w:val="off"/>
      </w:pPr>
      <w:r/>
      <w:r/>
    </w:p>
    <w:p>
      <w:pPr>
        <w:pStyle w:val="702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702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702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4" w:tooltip="http://utp.sberbank-ast.ru/AP/Notice/653/Requisites" w:history="1">
        <w:r>
          <w:rPr>
            <w:rStyle w:val="785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2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702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2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702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2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702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</w:t>
      </w:r>
      <w:r>
        <w:rPr>
          <w:bCs/>
          <w:lang w:bidi="ru-RU"/>
        </w:rPr>
        <w:t xml:space="preserve">9.07.2025 по 12.08.2025.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702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702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7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95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5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</w:t>
      </w:r>
      <w:r>
        <w:rPr>
          <w:bCs/>
          <w:shd w:val="clear" w:color="auto" w:fill="auto"/>
          <w:lang w:bidi="ru-RU"/>
        </w:rPr>
        <w:t xml:space="preserve">9.07.2025 по 12.08.2025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2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9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9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702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702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702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5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заявка на участие в аукционе либо по результатам рассмотрения заявок на участие в аукционе принято решение об отказе в допуске к участию </w:t>
        <w:br/>
        <w:t xml:space="preserve">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</w:t>
        <w:br/>
        <w:t xml:space="preserve">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widowControl w:val="off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</w:p>
    <w:p>
      <w:pPr>
        <w:pStyle w:val="702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</w:t>
        <w:br/>
        <w:t xml:space="preserve">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</w:t>
      </w:r>
      <w:r>
        <w:rPr>
          <w:bCs/>
          <w:shd w:val="clear" w:color="auto" w:fill="auto"/>
        </w:rPr>
        <w:t xml:space="preserve">направить победителю аукциона или иным лицам, с которыми в соответствии </w:t>
        <w:br/>
        <w:t xml:space="preserve">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</w:t>
        <w:br/>
        <w:t xml:space="preserve">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является частью извещения и представлены в Приложениях 2-4  </w:t>
        <w:br/>
        <w:t xml:space="preserve">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02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34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703">
    <w:name w:val="Heading 1"/>
    <w:basedOn w:val="702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704">
    <w:name w:val="Heading 2"/>
    <w:basedOn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5">
    <w:name w:val="Heading 3"/>
    <w:basedOn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8">
    <w:name w:val="Heading 6"/>
    <w:basedOn w:val="702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09">
    <w:name w:val="Heading 7"/>
    <w:basedOn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1 Char"/>
    <w:basedOn w:val="729"/>
    <w:uiPriority w:val="9"/>
    <w:qFormat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29"/>
    <w:uiPriority w:val="9"/>
    <w:qFormat/>
    <w:rPr>
      <w:rFonts w:ascii="Arial" w:hAnsi="Arial" w:eastAsia="Arial" w:cs="Arial"/>
      <w:sz w:val="34"/>
    </w:rPr>
  </w:style>
  <w:style w:type="character" w:styleId="714">
    <w:name w:val="Heading 3 Char"/>
    <w:basedOn w:val="729"/>
    <w:uiPriority w:val="9"/>
    <w:qFormat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2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2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2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2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2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29"/>
    <w:uiPriority w:val="10"/>
    <w:qFormat/>
    <w:rPr>
      <w:sz w:val="48"/>
      <w:szCs w:val="48"/>
    </w:rPr>
  </w:style>
  <w:style w:type="character" w:styleId="722">
    <w:name w:val="Subtitle Char"/>
    <w:basedOn w:val="729"/>
    <w:uiPriority w:val="11"/>
    <w:qFormat/>
    <w:rPr>
      <w:sz w:val="24"/>
      <w:szCs w:val="24"/>
    </w:rPr>
  </w:style>
  <w:style w:type="character" w:styleId="723">
    <w:name w:val="Quote Char"/>
    <w:uiPriority w:val="29"/>
    <w:qFormat/>
    <w:rPr>
      <w:i/>
    </w:rPr>
  </w:style>
  <w:style w:type="character" w:styleId="724">
    <w:name w:val="Intense Quote Char"/>
    <w:uiPriority w:val="30"/>
    <w:qFormat/>
    <w:rPr>
      <w:i/>
    </w:rPr>
  </w:style>
  <w:style w:type="character" w:styleId="725">
    <w:name w:val="Header Char"/>
    <w:basedOn w:val="729"/>
    <w:uiPriority w:val="99"/>
    <w:qFormat/>
  </w:style>
  <w:style w:type="character" w:styleId="726">
    <w:name w:val="Caption Char"/>
    <w:uiPriority w:val="99"/>
    <w:qFormat/>
  </w:style>
  <w:style w:type="character" w:styleId="727">
    <w:name w:val="Footnote Text Char"/>
    <w:uiPriority w:val="99"/>
    <w:qFormat/>
    <w:rPr>
      <w:sz w:val="18"/>
    </w:rPr>
  </w:style>
  <w:style w:type="character" w:styleId="728">
    <w:name w:val="Endnote Text Char"/>
    <w:uiPriority w:val="99"/>
    <w:qFormat/>
    <w:rPr>
      <w:sz w:val="20"/>
    </w:rPr>
  </w:style>
  <w:style w:type="character" w:styleId="729" w:default="1">
    <w:name w:val="Default Paragraph Font"/>
    <w:uiPriority w:val="1"/>
    <w:semiHidden/>
    <w:unhideWhenUsed/>
    <w:qFormat/>
  </w:style>
  <w:style w:type="character" w:styleId="73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3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9" w:customStyle="1">
    <w:name w:val="Заголовок Знак1"/>
    <w:uiPriority w:val="10"/>
    <w:qFormat/>
    <w:rPr>
      <w:sz w:val="48"/>
      <w:szCs w:val="48"/>
    </w:rPr>
  </w:style>
  <w:style w:type="character" w:styleId="740" w:customStyle="1">
    <w:name w:val="Подзаголовок Знак"/>
    <w:uiPriority w:val="11"/>
    <w:qFormat/>
    <w:rPr>
      <w:sz w:val="24"/>
      <w:szCs w:val="24"/>
    </w:rPr>
  </w:style>
  <w:style w:type="character" w:styleId="741" w:customStyle="1">
    <w:name w:val="Цитата 2 Знак"/>
    <w:uiPriority w:val="29"/>
    <w:qFormat/>
    <w:rPr>
      <w:i/>
    </w:rPr>
  </w:style>
  <w:style w:type="character" w:styleId="742" w:customStyle="1">
    <w:name w:val="Выделенная цитата Знак"/>
    <w:uiPriority w:val="30"/>
    <w:qFormat/>
    <w:rPr>
      <w:i/>
    </w:rPr>
  </w:style>
  <w:style w:type="character" w:styleId="743" w:customStyle="1">
    <w:name w:val="Верхний колонтитул Знак1"/>
    <w:uiPriority w:val="99"/>
    <w:qFormat/>
  </w:style>
  <w:style w:type="character" w:styleId="744" w:customStyle="1">
    <w:name w:val="Footer Char"/>
    <w:uiPriority w:val="99"/>
    <w:qFormat/>
  </w:style>
  <w:style w:type="character" w:styleId="745" w:customStyle="1">
    <w:name w:val="Нижний колонтитул Знак1"/>
    <w:uiPriority w:val="99"/>
    <w:qFormat/>
  </w:style>
  <w:style w:type="character" w:styleId="746" w:customStyle="1">
    <w:name w:val="Текст сноски Знак"/>
    <w:uiPriority w:val="99"/>
    <w:qFormat/>
    <w:rPr>
      <w:sz w:val="18"/>
    </w:rPr>
  </w:style>
  <w:style w:type="character" w:styleId="747">
    <w:name w:val="Символ сноски"/>
    <w:uiPriority w:val="99"/>
    <w:unhideWhenUsed/>
    <w:qFormat/>
    <w:rPr>
      <w:vertAlign w:val="superscript"/>
    </w:rPr>
  </w:style>
  <w:style w:type="character" w:styleId="748">
    <w:name w:val="footnote reference"/>
    <w:rPr>
      <w:vertAlign w:val="superscript"/>
    </w:rPr>
  </w:style>
  <w:style w:type="character" w:styleId="749" w:customStyle="1">
    <w:name w:val="Текст концевой сноски Знак"/>
    <w:uiPriority w:val="99"/>
    <w:qFormat/>
    <w:rPr>
      <w:sz w:val="20"/>
    </w:rPr>
  </w:style>
  <w:style w:type="character" w:styleId="75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51">
    <w:name w:val="endnote reference"/>
    <w:rPr>
      <w:vertAlign w:val="superscript"/>
    </w:rPr>
  </w:style>
  <w:style w:type="character" w:styleId="752" w:customStyle="1">
    <w:name w:val="WW8Num2z0"/>
    <w:qFormat/>
    <w:rPr>
      <w:rFonts w:ascii="Symbol" w:hAnsi="Symbol" w:cs="Symbol"/>
    </w:rPr>
  </w:style>
  <w:style w:type="character" w:styleId="753" w:customStyle="1">
    <w:name w:val="WW8Num3z0"/>
    <w:qFormat/>
  </w:style>
  <w:style w:type="character" w:styleId="754" w:customStyle="1">
    <w:name w:val="WW8Num4z0"/>
    <w:qFormat/>
  </w:style>
  <w:style w:type="character" w:styleId="755" w:customStyle="1">
    <w:name w:val="WW8Num5z0"/>
    <w:qFormat/>
    <w:rPr>
      <w:sz w:val="16"/>
      <w:szCs w:val="16"/>
    </w:rPr>
  </w:style>
  <w:style w:type="character" w:styleId="756" w:customStyle="1">
    <w:name w:val="WW8Num6z0"/>
    <w:qFormat/>
  </w:style>
  <w:style w:type="character" w:styleId="757" w:customStyle="1">
    <w:name w:val="WW8Num7z0"/>
    <w:qFormat/>
  </w:style>
  <w:style w:type="character" w:styleId="758" w:customStyle="1">
    <w:name w:val="WW8Num8z0"/>
    <w:qFormat/>
  </w:style>
  <w:style w:type="character" w:styleId="759" w:customStyle="1">
    <w:name w:val="WW8Num9z0"/>
    <w:qFormat/>
  </w:style>
  <w:style w:type="character" w:styleId="760" w:customStyle="1">
    <w:name w:val="WW8Num10z0"/>
    <w:qFormat/>
  </w:style>
  <w:style w:type="character" w:styleId="761" w:customStyle="1">
    <w:name w:val="WW8Num11z0"/>
    <w:qFormat/>
  </w:style>
  <w:style w:type="character" w:styleId="762" w:customStyle="1">
    <w:name w:val="WW8Num12z0"/>
    <w:qFormat/>
  </w:style>
  <w:style w:type="character" w:styleId="763" w:customStyle="1">
    <w:name w:val="WW8Num13z0"/>
    <w:qFormat/>
  </w:style>
  <w:style w:type="character" w:styleId="764" w:customStyle="1">
    <w:name w:val="WW8Num14z0"/>
    <w:qFormat/>
  </w:style>
  <w:style w:type="character" w:styleId="765" w:customStyle="1">
    <w:name w:val="WW8Num15z0"/>
    <w:qFormat/>
  </w:style>
  <w:style w:type="character" w:styleId="766" w:customStyle="1">
    <w:name w:val="WW8Num18z0"/>
    <w:qFormat/>
  </w:style>
  <w:style w:type="character" w:styleId="767" w:customStyle="1">
    <w:name w:val="WW8Num19z0"/>
    <w:qFormat/>
  </w:style>
  <w:style w:type="character" w:styleId="768" w:customStyle="1">
    <w:name w:val="WW8Num20z0"/>
    <w:qFormat/>
  </w:style>
  <w:style w:type="character" w:styleId="769" w:customStyle="1">
    <w:name w:val="WW8Num21z0"/>
    <w:qFormat/>
  </w:style>
  <w:style w:type="character" w:styleId="770" w:customStyle="1">
    <w:name w:val="WW8Num22z0"/>
    <w:qFormat/>
  </w:style>
  <w:style w:type="character" w:styleId="771" w:customStyle="1">
    <w:name w:val="WW8Num23z0"/>
    <w:qFormat/>
  </w:style>
  <w:style w:type="character" w:styleId="772" w:customStyle="1">
    <w:name w:val="WW8Num25z0"/>
    <w:qFormat/>
  </w:style>
  <w:style w:type="character" w:styleId="773" w:customStyle="1">
    <w:name w:val="WW8Num26z0"/>
    <w:qFormat/>
  </w:style>
  <w:style w:type="character" w:styleId="774" w:customStyle="1">
    <w:name w:val="WW8Num27z0"/>
    <w:qFormat/>
  </w:style>
  <w:style w:type="character" w:styleId="775" w:customStyle="1">
    <w:name w:val="WW8Num29z0"/>
    <w:qFormat/>
    <w:rPr>
      <w:rFonts w:ascii="Symbol" w:hAnsi="Symbol" w:cs="Symbol"/>
    </w:rPr>
  </w:style>
  <w:style w:type="character" w:styleId="776" w:customStyle="1">
    <w:name w:val="WW8Num30z0"/>
    <w:qFormat/>
  </w:style>
  <w:style w:type="character" w:styleId="777" w:customStyle="1">
    <w:name w:val="WW8Num31z0"/>
    <w:qFormat/>
  </w:style>
  <w:style w:type="character" w:styleId="778" w:customStyle="1">
    <w:name w:val="WW8Num32z0"/>
    <w:qFormat/>
  </w:style>
  <w:style w:type="character" w:styleId="779" w:customStyle="1">
    <w:name w:val="WW8Num33z0"/>
    <w:qFormat/>
  </w:style>
  <w:style w:type="character" w:styleId="780" w:customStyle="1">
    <w:name w:val="WW8Num34z0"/>
    <w:qFormat/>
  </w:style>
  <w:style w:type="character" w:styleId="781">
    <w:name w:val="page number"/>
    <w:basedOn w:val="729"/>
    <w:qFormat/>
  </w:style>
  <w:style w:type="character" w:styleId="782" w:customStyle="1">
    <w:name w:val="Текст Знак"/>
    <w:qFormat/>
    <w:rPr>
      <w:rFonts w:ascii="Courier New" w:hAnsi="Courier New" w:cs="Courier New"/>
    </w:rPr>
  </w:style>
  <w:style w:type="character" w:styleId="783" w:customStyle="1">
    <w:name w:val="Верхний колонтитул Знак"/>
    <w:qFormat/>
    <w:rPr>
      <w:sz w:val="16"/>
      <w:lang w:val="ru-RU" w:bidi="ar-SA"/>
    </w:rPr>
  </w:style>
  <w:style w:type="character" w:styleId="784" w:customStyle="1">
    <w:name w:val="Основной текст с отступом 3 Знак"/>
    <w:qFormat/>
    <w:rPr>
      <w:sz w:val="16"/>
      <w:szCs w:val="16"/>
    </w:rPr>
  </w:style>
  <w:style w:type="character" w:styleId="785">
    <w:name w:val="Hyperlink"/>
    <w:rPr>
      <w:color w:val="0563c1"/>
      <w:u w:val="single"/>
    </w:rPr>
  </w:style>
  <w:style w:type="character" w:styleId="786" w:customStyle="1">
    <w:name w:val="Абзац списка Знак"/>
    <w:qFormat/>
    <w:rPr>
      <w:sz w:val="24"/>
      <w:szCs w:val="24"/>
    </w:rPr>
  </w:style>
  <w:style w:type="character" w:styleId="787" w:customStyle="1">
    <w:name w:val="Заголовок 6 Знак"/>
    <w:qFormat/>
    <w:rPr>
      <w:b/>
      <w:bCs/>
      <w:sz w:val="22"/>
      <w:szCs w:val="22"/>
    </w:rPr>
  </w:style>
  <w:style w:type="character" w:styleId="788" w:customStyle="1">
    <w:name w:val="Название Знак"/>
    <w:qFormat/>
    <w:rPr>
      <w:sz w:val="28"/>
      <w:lang w:val="ru-RU" w:bidi="ar-SA"/>
    </w:rPr>
  </w:style>
  <w:style w:type="character" w:styleId="789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90" w:customStyle="1">
    <w:name w:val="Нижний колонтитул Знак"/>
    <w:qFormat/>
  </w:style>
  <w:style w:type="character" w:styleId="791">
    <w:name w:val="FollowedHyperlink"/>
    <w:rPr>
      <w:color w:val="954f72"/>
      <w:u w:val="single"/>
    </w:rPr>
  </w:style>
  <w:style w:type="character" w:styleId="792" w:customStyle="1">
    <w:name w:val="Гиперссылка"/>
    <w:qFormat/>
    <w:rPr>
      <w:color w:val="0000ff"/>
      <w:u w:val="single"/>
    </w:rPr>
  </w:style>
  <w:style w:type="character" w:styleId="793">
    <w:name w:val="Символ нумерации"/>
    <w:qFormat/>
  </w:style>
  <w:style w:type="paragraph" w:styleId="794">
    <w:name w:val="Заголовок"/>
    <w:basedOn w:val="702"/>
    <w:next w:val="795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95">
    <w:name w:val="Body Text"/>
    <w:basedOn w:val="702"/>
    <w:pPr>
      <w:jc w:val="right"/>
    </w:pPr>
    <w:rPr>
      <w:sz w:val="28"/>
    </w:rPr>
  </w:style>
  <w:style w:type="paragraph" w:styleId="796">
    <w:name w:val="List"/>
    <w:basedOn w:val="795"/>
    <w:rPr>
      <w:rFonts w:cs="Lohit Devanagari"/>
    </w:rPr>
  </w:style>
  <w:style w:type="paragraph" w:styleId="797">
    <w:name w:val="Caption"/>
    <w:basedOn w:val="702"/>
    <w:qFormat/>
    <w:pPr>
      <w:spacing w:before="120" w:after="120"/>
      <w:suppressLineNumbers/>
    </w:pPr>
    <w:rPr>
      <w:rFonts w:cs="Lohit Devanagari"/>
      <w:i/>
      <w:iCs/>
    </w:rPr>
  </w:style>
  <w:style w:type="paragraph" w:styleId="798">
    <w:name w:val="Указатель"/>
    <w:basedOn w:val="702"/>
    <w:qFormat/>
    <w:pPr>
      <w:suppressLineNumbers/>
    </w:pPr>
    <w:rPr>
      <w:rFonts w:cs="Lohit Devanagari"/>
    </w:rPr>
  </w:style>
  <w:style w:type="paragraph" w:styleId="799">
    <w:name w:val="List Paragraph"/>
    <w:basedOn w:val="702"/>
    <w:qFormat/>
    <w:pPr>
      <w:ind w:left="708"/>
    </w:pPr>
  </w:style>
  <w:style w:type="paragraph" w:styleId="80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01">
    <w:name w:val="Title"/>
    <w:basedOn w:val="702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802">
    <w:name w:val="Subtitle"/>
    <w:basedOn w:val="702"/>
    <w:uiPriority w:val="11"/>
    <w:qFormat/>
    <w:pPr>
      <w:spacing w:before="200" w:after="200"/>
    </w:pPr>
  </w:style>
  <w:style w:type="paragraph" w:styleId="803">
    <w:name w:val="Quote"/>
    <w:basedOn w:val="702"/>
    <w:uiPriority w:val="29"/>
    <w:qFormat/>
    <w:pPr>
      <w:ind w:left="720" w:right="720"/>
    </w:pPr>
    <w:rPr>
      <w:i/>
    </w:rPr>
  </w:style>
  <w:style w:type="paragraph" w:styleId="804">
    <w:name w:val="Intense Quote"/>
    <w:basedOn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5">
    <w:name w:val="footnote text"/>
    <w:basedOn w:val="702"/>
    <w:uiPriority w:val="99"/>
    <w:semiHidden/>
    <w:unhideWhenUsed/>
    <w:pPr>
      <w:spacing w:before="0" w:after="40"/>
    </w:pPr>
    <w:rPr>
      <w:sz w:val="18"/>
    </w:rPr>
  </w:style>
  <w:style w:type="paragraph" w:styleId="806">
    <w:name w:val="endnote text"/>
    <w:basedOn w:val="702"/>
    <w:uiPriority w:val="99"/>
    <w:semiHidden/>
    <w:unhideWhenUsed/>
    <w:rPr>
      <w:sz w:val="20"/>
    </w:rPr>
  </w:style>
  <w:style w:type="paragraph" w:styleId="807">
    <w:name w:val="toc 1"/>
    <w:basedOn w:val="702"/>
    <w:uiPriority w:val="39"/>
    <w:unhideWhenUsed/>
    <w:pPr>
      <w:spacing w:before="0" w:after="57"/>
    </w:pPr>
  </w:style>
  <w:style w:type="paragraph" w:styleId="808">
    <w:name w:val="toc 2"/>
    <w:basedOn w:val="702"/>
    <w:uiPriority w:val="39"/>
    <w:unhideWhenUsed/>
    <w:pPr>
      <w:ind w:left="283"/>
      <w:spacing w:before="0" w:after="57"/>
    </w:pPr>
  </w:style>
  <w:style w:type="paragraph" w:styleId="809">
    <w:name w:val="toc 3"/>
    <w:basedOn w:val="702"/>
    <w:uiPriority w:val="39"/>
    <w:unhideWhenUsed/>
    <w:pPr>
      <w:ind w:left="567"/>
      <w:spacing w:before="0" w:after="57"/>
    </w:pPr>
  </w:style>
  <w:style w:type="paragraph" w:styleId="810">
    <w:name w:val="toc 4"/>
    <w:basedOn w:val="702"/>
    <w:uiPriority w:val="39"/>
    <w:unhideWhenUsed/>
    <w:pPr>
      <w:ind w:left="850"/>
      <w:spacing w:before="0" w:after="57"/>
    </w:pPr>
  </w:style>
  <w:style w:type="paragraph" w:styleId="811">
    <w:name w:val="toc 5"/>
    <w:basedOn w:val="702"/>
    <w:uiPriority w:val="39"/>
    <w:unhideWhenUsed/>
    <w:pPr>
      <w:ind w:left="1134"/>
      <w:spacing w:before="0" w:after="57"/>
    </w:pPr>
  </w:style>
  <w:style w:type="paragraph" w:styleId="812">
    <w:name w:val="toc 6"/>
    <w:basedOn w:val="702"/>
    <w:uiPriority w:val="39"/>
    <w:unhideWhenUsed/>
    <w:pPr>
      <w:ind w:left="1417"/>
      <w:spacing w:before="0" w:after="57"/>
    </w:pPr>
  </w:style>
  <w:style w:type="paragraph" w:styleId="813">
    <w:name w:val="toc 7"/>
    <w:basedOn w:val="702"/>
    <w:uiPriority w:val="39"/>
    <w:unhideWhenUsed/>
    <w:pPr>
      <w:ind w:left="1701"/>
      <w:spacing w:before="0" w:after="57"/>
    </w:pPr>
  </w:style>
  <w:style w:type="paragraph" w:styleId="814">
    <w:name w:val="toc 8"/>
    <w:basedOn w:val="702"/>
    <w:uiPriority w:val="39"/>
    <w:unhideWhenUsed/>
    <w:pPr>
      <w:ind w:left="1984"/>
      <w:spacing w:before="0" w:after="57"/>
    </w:pPr>
  </w:style>
  <w:style w:type="paragraph" w:styleId="815">
    <w:name w:val="toc 9"/>
    <w:basedOn w:val="702"/>
    <w:uiPriority w:val="39"/>
    <w:unhideWhenUsed/>
    <w:pPr>
      <w:ind w:left="2268"/>
      <w:spacing w:before="0" w:after="57"/>
    </w:pPr>
  </w:style>
  <w:style w:type="paragraph" w:styleId="816">
    <w:name w:val="Index Heading"/>
    <w:basedOn w:val="794"/>
  </w:style>
  <w:style w:type="paragraph" w:styleId="81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18">
    <w:name w:val="table of figures"/>
    <w:basedOn w:val="702"/>
    <w:uiPriority w:val="99"/>
    <w:unhideWhenUsed/>
  </w:style>
  <w:style w:type="paragraph" w:styleId="819">
    <w:name w:val="index heading1"/>
    <w:basedOn w:val="702"/>
    <w:qFormat/>
    <w:pPr>
      <w:suppressLineNumbers/>
    </w:pPr>
    <w:rPr>
      <w:rFonts w:cs="Lohit Devanagari"/>
    </w:rPr>
  </w:style>
  <w:style w:type="paragraph" w:styleId="820" w:customStyle="1">
    <w:name w:val="Caption1"/>
    <w:basedOn w:val="702"/>
    <w:qFormat/>
    <w:pPr>
      <w:spacing w:before="120" w:after="120"/>
      <w:suppressLineNumbers/>
    </w:pPr>
    <w:rPr>
      <w:rFonts w:cs="Lohit Devanagari"/>
      <w:i/>
      <w:iCs/>
    </w:rPr>
  </w:style>
  <w:style w:type="paragraph" w:styleId="821">
    <w:name w:val="Plain Text"/>
    <w:basedOn w:val="702"/>
    <w:qFormat/>
    <w:rPr>
      <w:rFonts w:ascii="Courier New" w:hAnsi="Courier New" w:cs="Courier New"/>
      <w:sz w:val="20"/>
      <w:szCs w:val="20"/>
      <w:lang w:val="en-US"/>
    </w:rPr>
  </w:style>
  <w:style w:type="paragraph" w:styleId="822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23">
    <w:name w:val="Body Text 2"/>
    <w:basedOn w:val="702"/>
    <w:qFormat/>
    <w:pPr>
      <w:spacing w:before="0" w:after="120" w:line="480" w:lineRule="auto"/>
    </w:pPr>
  </w:style>
  <w:style w:type="paragraph" w:styleId="824">
    <w:name w:val="Body Text 3"/>
    <w:basedOn w:val="702"/>
    <w:qFormat/>
    <w:pPr>
      <w:spacing w:before="0" w:after="120"/>
    </w:pPr>
    <w:rPr>
      <w:sz w:val="16"/>
      <w:szCs w:val="16"/>
    </w:rPr>
  </w:style>
  <w:style w:type="paragraph" w:styleId="825" w:customStyle="1">
    <w:name w:val="Колонтитул"/>
    <w:basedOn w:val="702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26">
    <w:name w:val="Footer"/>
    <w:basedOn w:val="702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27">
    <w:name w:val="Balloon Text"/>
    <w:basedOn w:val="702"/>
    <w:qFormat/>
    <w:rPr>
      <w:rFonts w:ascii="Tahoma" w:hAnsi="Tahoma" w:cs="Tahoma"/>
      <w:sz w:val="16"/>
      <w:szCs w:val="16"/>
    </w:rPr>
  </w:style>
  <w:style w:type="paragraph" w:styleId="828" w:customStyle="1">
    <w:name w:val="Знак Знак Знак Знак Знак Знак Знак Знак Знак Знак Знак Знак"/>
    <w:basedOn w:val="702"/>
    <w:qFormat/>
    <w:rPr>
      <w:rFonts w:ascii="Verdana" w:hAnsi="Verdana" w:cs="Verdana"/>
      <w:sz w:val="20"/>
      <w:szCs w:val="20"/>
      <w:lang w:val="en-US"/>
    </w:rPr>
  </w:style>
  <w:style w:type="paragraph" w:styleId="829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30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31">
    <w:name w:val="Body Text Indent 3"/>
    <w:basedOn w:val="702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32">
    <w:name w:val="Normal (Web)"/>
    <w:basedOn w:val="702"/>
    <w:qFormat/>
    <w:pPr>
      <w:spacing w:before="280" w:after="280"/>
    </w:pPr>
  </w:style>
  <w:style w:type="paragraph" w:styleId="833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34" w:customStyle="1">
    <w:name w:val="Содержимое таблицы"/>
    <w:basedOn w:val="702"/>
    <w:qFormat/>
    <w:pPr>
      <w:widowControl w:val="off"/>
      <w:suppressLineNumbers/>
    </w:pPr>
  </w:style>
  <w:style w:type="paragraph" w:styleId="835" w:customStyle="1">
    <w:name w:val="Заголовок таблицы"/>
    <w:basedOn w:val="834"/>
    <w:qFormat/>
    <w:pPr>
      <w:jc w:val="center"/>
    </w:pPr>
    <w:rPr>
      <w:b/>
      <w:bCs/>
    </w:rPr>
  </w:style>
  <w:style w:type="paragraph" w:styleId="836">
    <w:name w:val="Times New Roman"/>
    <w:qFormat/>
    <w:pPr>
      <w:ind w:left="0" w:right="0" w:firstLine="31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37" w:default="1">
    <w:name w:val="No List"/>
    <w:uiPriority w:val="99"/>
    <w:semiHidden/>
    <w:unhideWhenUsed/>
    <w:qFormat/>
  </w:style>
  <w:style w:type="table" w:styleId="83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4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4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6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6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7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7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7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7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8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8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0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0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0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0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0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0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3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43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4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5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6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7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8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9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50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51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52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53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54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55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56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5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5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6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6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6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6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torgi.gov.ru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://www.torgi.gov.ru/" TargetMode="External"/><Relationship Id="rId22" Type="http://schemas.openxmlformats.org/officeDocument/2006/relationships/hyperlink" Target="http://www.gorodperm.ru/" TargetMode="External"/><Relationship Id="rId23" Type="http://schemas.openxmlformats.org/officeDocument/2006/relationships/hyperlink" Target="http://www.torgi.gov.ru/" TargetMode="External"/><Relationship Id="rId24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259</cp:revision>
  <dcterms:created xsi:type="dcterms:W3CDTF">2023-10-30T09:15:00Z</dcterms:created>
  <dcterms:modified xsi:type="dcterms:W3CDTF">2025-07-07T11:47:12Z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