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732" w:leader="none"/>
          <w:tab w:val="left" w:pos="5812" w:leader="none"/>
        </w:tabs>
        <w:spacing w:lineRule="exact" w:line="240"/>
        <w:ind w:firstLine="5670" w:left="0"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Приложение 2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6" w:left="5664"/>
        <w:rPr>
          <w:sz w:val="28"/>
          <w:szCs w:val="28"/>
        </w:rPr>
      </w:pPr>
      <w:r>
        <w:rPr>
          <w:sz w:val="28"/>
          <w:szCs w:val="28"/>
        </w:rPr>
        <w:t>к приказу начальника департамента имущественных отношений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>администрации города Перми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>от 11.07.2025 № 059-19-01-11-89</w:t>
      </w:r>
    </w:p>
    <w:p>
      <w:pPr>
        <w:pStyle w:val="Normal"/>
        <w:tabs>
          <w:tab w:val="clear" w:pos="708"/>
          <w:tab w:val="left" w:pos="4732" w:leader="none"/>
        </w:tabs>
        <w:ind w:left="283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732" w:leader="none"/>
        </w:tabs>
        <w:ind w:lef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PlainText"/>
        <w:spacing w:lineRule="exact" w:line="240"/>
        <w:ind w:hanging="1134" w:left="113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Извещение о проведении 13.08.2025 электронных аукционов на право заключения договоров аренды земельных участков</w:t>
      </w:r>
    </w:p>
    <w:p>
      <w:pPr>
        <w:pStyle w:val="PlainTex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shd w:fill="FFFFFF" w:val="clear"/>
        </w:rPr>
        <w:t xml:space="preserve">Электронные аукционы на право заключения договоров аренды земельных участков </w:t>
        <w:br/>
        <w:t xml:space="preserve">(далее – аукцион) проводятся в соответствии со статьями 39.11, 39.12, 39.13, 39.18 Земельного кодекса Российской Федерации,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Перми от 20 ноября 2008 г. № 1089                      «О комиссии по проведению аукционов по продаже земельных участков, находящихся                             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 не разграничена, или на право заключения договоров аренды земельных участков, находящихся                    в муниципальной собственности города Перми, </w:t>
      </w:r>
      <w:r>
        <w:rPr>
          <w:rFonts w:eastAsia="Droid Sans Fallback" w:cs="Lohit Devanagari"/>
          <w:color w:val="000000"/>
          <w:sz w:val="24"/>
          <w:szCs w:val="24"/>
          <w:shd w:fill="FFFFFF" w:val="clear"/>
          <w:lang w:val="ru-RU" w:eastAsia="zh-CN" w:bidi="ar-SA"/>
        </w:rPr>
        <w:t>и участков, собственность на которые не разграничена» (далее – комиссия), регламентом работы электронной площадки АО «Сбербанк-АСТ», регламентом работы торговой секции АО «Сбербанк-АСТ».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</w:rPr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rStyle w:val="Hyperlink"/>
          <w:bCs/>
          <w:sz w:val="24"/>
          <w:szCs w:val="24"/>
          <w:lang w:val="en-US"/>
        </w:rPr>
        <w:t>dzo@perm.permkrai.ru.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</w:rPr>
        <w:t xml:space="preserve">Организатор аукциона </w:t>
      </w:r>
      <w:r>
        <w:rPr>
          <w:bCs/>
        </w:rPr>
        <w:t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>департамент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</w:t>
      </w:r>
      <w:r>
        <w:rPr>
          <w:b/>
          <w:bCs/>
        </w:rPr>
        <w:t xml:space="preserve"> </w:t>
      </w:r>
      <w:r>
        <w:rPr>
          <w:sz w:val="24"/>
          <w:szCs w:val="24"/>
          <w:lang w:val="en-US"/>
        </w:rPr>
        <w:t>dio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perm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permkrai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b/>
          <w:bCs/>
          <w:sz w:val="24"/>
          <w:szCs w:val="24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sz w:val="24"/>
          <w:szCs w:val="24"/>
        </w:rPr>
      </w:pPr>
      <w:r>
        <w:rPr>
          <w:b/>
          <w:bCs/>
        </w:rPr>
        <w:t>Реквизиты приказа об организации проведения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8"/>
        </w:rPr>
        <w:t>11.07.2025 № 059-19-01-11-89.</w:t>
      </w:r>
    </w:p>
    <w:p>
      <w:pPr>
        <w:pStyle w:val="BodyTextIndent3"/>
        <w:numPr>
          <w:ilvl w:val="0"/>
          <w:numId w:val="0"/>
        </w:numPr>
        <w:spacing w:before="0" w:after="0"/>
        <w:ind w:firstLine="567" w:left="-567"/>
        <w:jc w:val="both"/>
        <w:outlineLvl w:val="0"/>
        <w:rPr>
          <w:rFonts w:eastAsia="Courier New"/>
          <w:b/>
          <w:color w:val="000000"/>
          <w:lang w:val="ru-RU" w:bidi="ru-RU"/>
        </w:rPr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на официальном сайте Российской Федерации для размещения информации о проведении торгов </w:t>
      </w:r>
      <w:hyperlink r:id="rId2" w:tgtFrame="http://www.torgi.gov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torgi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gov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color w:val="000000"/>
          <w:sz w:val="24"/>
          <w:szCs w:val="24"/>
          <w:u w:val="none"/>
        </w:rPr>
        <w:t xml:space="preserve"> (далее – ГИС Торги)</w:t>
      </w:r>
      <w:r>
        <w:rPr>
          <w:b/>
          <w:sz w:val="24"/>
          <w:szCs w:val="24"/>
          <w:lang w:val="ru-RU"/>
        </w:rPr>
        <w:t>,</w:t>
      </w:r>
      <w:r>
        <w:rPr>
          <w:b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3" w:tgtFrame="http://www.gorodperm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gorodperm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4" w:tgtFrame="http://utp.sberbank-ast.ru/">
        <w:r>
          <w:rPr>
            <w:rStyle w:val="Hyperlink"/>
            <w:sz w:val="24"/>
            <w:szCs w:val="24"/>
          </w:rPr>
          <w:t>http</w:t>
        </w:r>
        <w:r>
          <w:rPr>
            <w:rStyle w:val="Hyperlink"/>
            <w:sz w:val="24"/>
            <w:szCs w:val="24"/>
            <w:lang w:val="ru-RU"/>
          </w:rPr>
          <w:t>://</w:t>
        </w:r>
        <w:r>
          <w:rPr>
            <w:rStyle w:val="Hyperlink"/>
            <w:sz w:val="24"/>
            <w:szCs w:val="24"/>
          </w:rPr>
          <w:t>utp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sberbank</w:t>
        </w:r>
        <w:r>
          <w:rPr>
            <w:rStyle w:val="Hyperlink"/>
            <w:sz w:val="24"/>
            <w:szCs w:val="24"/>
            <w:lang w:val="ru-RU"/>
          </w:rPr>
          <w:t>-</w:t>
        </w:r>
        <w:r>
          <w:rPr>
            <w:rStyle w:val="Hyperlink"/>
            <w:sz w:val="24"/>
            <w:szCs w:val="24"/>
          </w:rPr>
          <w:t>ast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ru</w:t>
        </w:r>
      </w:hyperlink>
      <w:r>
        <w:rPr>
          <w:bCs/>
          <w:sz w:val="24"/>
          <w:szCs w:val="24"/>
          <w:lang w:val="ru-RU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>:</w:t>
      </w:r>
      <w:r>
        <w:rPr>
          <w:rFonts w:eastAsia="Courier New" w:cs="Courier New" w:ascii="Courier New" w:hAnsi="Courier New"/>
          <w:color w:val="000000"/>
          <w:lang w:bidi="ru-RU"/>
        </w:rPr>
        <w:t xml:space="preserve"> </w:t>
      </w:r>
      <w:hyperlink r:id="rId5" w:tgtFrame="http://utp.sberbank-ast.ru/">
        <w:r>
          <w:rPr>
            <w:rStyle w:val="Hyperlink"/>
          </w:rPr>
          <w:t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>
        <w:rPr>
          <w:rFonts w:eastAsia="Courier New"/>
          <w:color w:val="000000"/>
          <w:lang w:eastAsia="en-US" w:bidi="ru-RU"/>
        </w:rPr>
        <w:t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6" w:tgtFrame="https://utp.sberbank-ast.ru/Main/Notice/988/Reglament">
        <w:r>
          <w:rPr>
            <w:rStyle w:val="Hyperlink"/>
            <w:rFonts w:eastAsia="Courier New"/>
            <w:lang w:bidi="ru-RU"/>
          </w:rPr>
          <w:t>https://utp.sberbank-ast.ru/Main/Notice/988/Reglament</w:t>
        </w:r>
      </w:hyperlink>
      <w:r>
        <w:rPr>
          <w:rFonts w:eastAsia="Courier New"/>
          <w:lang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 w:type="textWrapping" w:clear="all"/>
      </w:r>
      <w:hyperlink r:id="rId7" w:tgtFrame="https://utp.sberbank-ast.ru/AP/Notice/1027/Instructions">
        <w:r>
          <w:rPr>
            <w:rStyle w:val="Hyperlink"/>
            <w:rFonts w:eastAsia="Calibri"/>
            <w:lang w:eastAsia="en-US"/>
          </w:rPr>
          <w:t>https://utp.sberbank-ast.ru/AP/Notice/1027/Instructions</w:t>
        </w:r>
      </w:hyperlink>
      <w:r>
        <w:rPr>
          <w:rFonts w:eastAsia="Calibri"/>
          <w:lang w:eastAsia="en-US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 w:type="textWrapping" w:clear="all"/>
      </w:r>
      <w:r>
        <w:rPr>
          <w:bCs/>
          <w:lang w:eastAsia="en-US" w:bidi="ru-RU"/>
        </w:rPr>
        <w:t>размещена по адресу:</w:t>
      </w:r>
      <w:r>
        <w:rPr>
          <w:rFonts w:eastAsia="Calibri" w:cs="Calibri" w:ascii="Calibri" w:hAnsi="Calibri"/>
          <w:sz w:val="22"/>
          <w:szCs w:val="22"/>
          <w:lang w:eastAsia="en-US"/>
        </w:rPr>
        <w:t xml:space="preserve"> </w:t>
      </w:r>
      <w:hyperlink r:id="rId8" w:tgtFrame="https://utp.sberbank-ast.ru/AP/Notice/652/Instructions">
        <w:r>
          <w:rPr>
            <w:rStyle w:val="Hyperlink"/>
            <w:bCs/>
            <w:lang w:eastAsia="en-US" w:bidi="ru-RU"/>
          </w:rPr>
          <w:t>https://utp.sberbank-ast.ru/AP/Notice/652/Instructions</w:t>
        </w:r>
      </w:hyperlink>
      <w:r>
        <w:rPr>
          <w:bCs/>
          <w:lang w:eastAsia="en-US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highlight w:val="none"/>
        </w:rPr>
      </w:pPr>
      <w:r>
        <w:rPr>
          <w:b/>
          <w:bCs/>
        </w:rPr>
        <w:t xml:space="preserve">Орган, уполномоченный на право заключение договора аренды земельного участка: </w:t>
      </w:r>
      <w:r>
        <w:rPr>
          <w:bCs/>
        </w:rPr>
        <w:t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212-61-90 (отдел договоров),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rStyle w:val="Hyperlink"/>
          <w:bCs/>
          <w:sz w:val="24"/>
          <w:szCs w:val="24"/>
          <w:lang w:val="en-US"/>
        </w:rPr>
        <w:t>dzo</w:t>
      </w:r>
      <w:r>
        <w:rPr>
          <w:rStyle w:val="Hyperlink"/>
          <w:bCs/>
          <w:sz w:val="24"/>
          <w:szCs w:val="24"/>
        </w:rPr>
        <w:t>@</w:t>
      </w:r>
      <w:r>
        <w:rPr>
          <w:rStyle w:val="Hyperlink"/>
          <w:bCs/>
          <w:sz w:val="24"/>
          <w:szCs w:val="24"/>
          <w:lang w:val="en-US"/>
        </w:rPr>
        <w:t>perm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permkrai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ru.</w:t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b/>
          <w:bCs/>
        </w:rPr>
      </w:r>
    </w:p>
    <w:p>
      <w:pPr>
        <w:pStyle w:val="PlainText"/>
        <w:spacing w:lineRule="exact" w:line="240"/>
        <w:ind w:hanging="1134" w:left="1134"/>
        <w:jc w:val="center"/>
        <w:rPr>
          <w:b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Сведения о лотах (предметах аукциона)</w:t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b/>
          <w:bCs/>
        </w:rPr>
      </w:pPr>
      <w:r>
        <w:rPr>
          <w:b/>
          <w:bCs/>
          <w:lang w:val="en-US"/>
        </w:rPr>
        <w:t>Лот № 1</w:t>
      </w:r>
    </w:p>
    <w:tbl>
      <w:tblPr>
        <w:tblW w:w="10485" w:type="dxa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67"/>
        <w:gridCol w:w="3054"/>
        <w:gridCol w:w="6864"/>
      </w:tblGrid>
      <w:tr>
        <w:trPr>
          <w:trHeight w:val="87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указанного решения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Перми, распоряжение начальника департамента земельных отношений администрации город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 xml:space="preserve">а Перми </w:t>
            </w:r>
            <w:r>
              <w:rPr>
                <w:rFonts w:eastAsia="Droid Sans Fallback" w:cs="Lohit Devanagari"/>
                <w:color w:val="auto"/>
                <w:sz w:val="24"/>
                <w:szCs w:val="28"/>
                <w:lang w:val="ru-RU" w:eastAsia="zh-CN" w:bidi="ar-SA"/>
              </w:rPr>
              <w:t>от 04 июня 2025 г. № 21-01-03-4725 «О проведении аукциона на право заключения договора аренды земельного участка в Свердловском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на право заключения договора аренды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ind w:hanging="277" w:left="419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256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жилой район Ново-Бродовский, улица Пасечная, з/у 32</w:t>
            </w:r>
          </w:p>
        </w:tc>
      </w:tr>
      <w:tr>
        <w:trPr>
          <w:trHeight w:val="14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площадь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кв. м</w:t>
            </w:r>
          </w:p>
        </w:tc>
      </w:tr>
      <w:tr>
        <w:trPr>
          <w:trHeight w:val="15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кадастровый номер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59:01:5010065:139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ind w:hanging="284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ind w:hanging="277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разрешенное использование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</w:t>
            </w:r>
          </w:p>
        </w:tc>
      </w:tr>
      <w:tr>
        <w:trPr>
          <w:trHeight w:val="57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ind w:hanging="284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  <w:p>
            <w:pPr>
              <w:pStyle w:val="Normal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 </w:t>
            </w:r>
            <w:r>
              <w:rPr>
                <w:sz w:val="24"/>
                <w:szCs w:val="24"/>
                <w:highlight w:val="white"/>
              </w:rPr>
              <w:t>26.06.2025г.                     № КУВИ-001/2025-129828902</w:t>
            </w:r>
            <w:r>
              <w:rPr>
                <w:sz w:val="24"/>
                <w:szCs w:val="24"/>
              </w:rPr>
              <w:t xml:space="preserve"> (далее – ЕГРН);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23.05.2025 № РФ-59-2-03-0-00-2025-1115-0 (далее – ГПЗУ).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  <w:highlight w:val="white"/>
              </w:rPr>
              <w:t xml:space="preserve"> земельном участке произрастает древесно-кустарниковая растительность.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Близлежащие источники противопожарного водоснабжения (пожарные водоемы) относительно Участка расположены               по ул. Виноградная, 22, емкость 100 куб.м, собственник (гарантирующая организация) ЖК «Янтарный»,                          по ул. Ореховая, 102, емкость 100 куб.м, муниципальная собственность.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themeColor="text1" w:val="000000"/>
                <w:sz w:val="24"/>
                <w:szCs w:val="24"/>
              </w:rPr>
              <w:t xml:space="preserve">администрации Свердловского района </w:t>
            </w:r>
            <w:r>
              <w:rPr>
                <w:color w:themeColor="text1" w:val="000000"/>
                <w:sz w:val="24"/>
                <w:szCs w:val="24"/>
              </w:rPr>
              <w:t>от 20.05.2025 № 059-39-01-38/3-164, в акте выездного обследования от 12.05.2025           № 19).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 соответствии со сведениями ЕГРН, копией планшета               М 1:1000 (требуется корректура), 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геодезической съемкой, </w:t>
            </w:r>
            <w:r>
              <w:rPr>
                <w:sz w:val="24"/>
                <w:szCs w:val="24"/>
                <w:highlight w:val="white"/>
              </w:rPr>
              <w:t>выполненной в 2024 году, объекты капитального/некапитального строительства в границах Участка отсутствуют.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Согласно сведениям, содержащимся в ЕГРН, ГПЗУ </w:t>
              <w:br/>
              <w:t xml:space="preserve">и справке по градостроительным условиям участка </w:t>
              <w:br/>
              <w:t xml:space="preserve">от 26.06.2025 № 636184 Участок полностью расположен </w:t>
              <w:br/>
              <w:t>в границах зоны с особыми условиями использования территории: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Приаэродромная территория аэродрома аэропорта Большое Савино (Постановление Правительства РФ </w:t>
              <w:br/>
              <w:t>от 11.03.2010 № 138 «Об утверждении Федеральных правил использования воздушного пространства Российской Федерации», реестровый номер 59:32-6.553).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Проектирование и строительство вести </w:t>
              <w:br/>
              <w:t>в соответствии с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–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На Участке произрастают 21 шт. дерева породы – пихта 7 шт., ель 4 шт., черемуха 10 шт.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 xml:space="preserve">Средняя стоимость в ценах 2025 года одного дерева лиственной породы от 25 тыс. руб., а хвойной – от </w:t>
              <w:br/>
              <w:t>30 тыс. руб.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 w:eastAsia="Times New Roman" w:cs="Times New Roman"/>
                <w:color w:themeColor="text1" w:val="000000"/>
                <w:spacing w:val="0"/>
                <w14:ligatures w14:val="none"/>
              </w:rPr>
            </w:pPr>
            <w:r>
              <w:rPr>
                <w:rFonts w:eastAsia="Times New Roman" w:cs="Times New Roman"/>
                <w:color w:themeColor="text1" w:val="000000"/>
                <w:spacing w:val="0"/>
                <w:sz w:val="24"/>
              </w:rPr>
              <w:t xml:space="preserve">Победителю аукциона необходимо соблюдать условия строительства, перечисленные в </w:t>
            </w:r>
            <w:r>
              <w:rPr>
                <w:rFonts w:eastAsia="Times New Roman" w:cs="Times New Roman"/>
                <w:color w:themeColor="text1" w:val="000000"/>
                <w:spacing w:val="0"/>
                <w:sz w:val="24"/>
                <w:szCs w:val="24"/>
              </w:rPr>
              <w:t>перечне мероприятий по охране окружающей среды от 27.05.2025 № 129 (прилагается).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color w:themeColor="text1" w:val="000000"/>
                <w:spacing w:val="0"/>
                <w:sz w:val="24"/>
                <w:szCs w:val="24"/>
              </w:rPr>
              <w:t>(Аналогичная информация отражена в письме  у</w:t>
            </w:r>
            <w:r>
              <w:rPr>
                <w:rFonts w:eastAsia="Times New Roman" w:cs="Times New Roman"/>
                <w:b/>
                <w:color w:themeColor="text1" w:val="000000"/>
                <w:spacing w:val="0"/>
                <w:sz w:val="24"/>
                <w:szCs w:val="24"/>
              </w:rPr>
              <w:t>правления по экологии и природопользованию администрации города Перми</w:t>
            </w:r>
            <w:r>
              <w:rPr>
                <w:rFonts w:eastAsia="Times New Roman" w:cs="Times New Roman"/>
                <w:color w:themeColor="text1" w:val="000000"/>
                <w:spacing w:val="0"/>
                <w:sz w:val="24"/>
                <w:szCs w:val="24"/>
              </w:rPr>
              <w:t xml:space="preserve"> от 27.05.2025 № 059-33-01-10/3-282).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Муниципальной программой «Дорожная деятельность и благоустройство города Перми», утвержденной постановлением администрации города Перми от 18.10.2024 № 966,</w:t>
            </w:r>
            <w:r>
              <w:rPr>
                <w:sz w:val="24"/>
                <w:szCs w:val="24"/>
                <w:highlight w:val="white"/>
              </w:rPr>
              <w:t xml:space="preserve"> бюджетом города Перми на период 2025-2029 годы мероприятия по строительству, реконструкции, капитальному ремонту улично-дорожной сети на рассматриваемой территории не предусмотрены.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</w:rPr>
              <w:t>Для примыкания Участка к улично-дорожной сети города Перми н</w:t>
            </w:r>
            <w:r>
              <w:rPr>
                <w:rFonts w:eastAsia="Times New Roman" w:cs="Times New Roman"/>
                <w:color w:themeColor="text1" w:val="000000"/>
                <w:sz w:val="24"/>
              </w:rPr>
              <w:t>еобходимо выполнить условия, указанные в письме (прилагается).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</w:rPr>
              <w:t>Также направлена информация о соблюдении Правил благоустройства территории города Перми, утвержденных решением Пермской городской Думы от 15.12.2020 № 277, при строительстве объектов недвижимости на земельных участках, предоставленных на торгах.</w:t>
            </w:r>
          </w:p>
          <w:p>
            <w:pPr>
              <w:pStyle w:val="Normal"/>
              <w:spacing w:lineRule="auto" w:line="240" w:before="0" w:after="0"/>
              <w:ind w:firstLine="72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расходы </w:t>
              <w:br/>
              <w:t xml:space="preserve">на строительство, реконструкцию, капитальный ремонт, ремонт пересечений и примыканий, в том числе расходы </w:t>
              <w:br/>
              <w:t xml:space="preserve">на выполнение дополнительных работ, связанных </w:t>
              <w:br/>
              <w:t xml:space="preserve">с обеспечением безопасности дорожного движения, водоотведения и исполнением других установленных техническими регламентами требований, несут лица, </w:t>
              <w:br/>
              <w:t>в интересах которых осуществляются строительство, реконструкция, капитальный ремонт, ремонт пересечений или примыканий.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4"/>
              </w:rPr>
              <w:t>департамента дорог и благоустройства администрации города Перми</w:t>
            </w:r>
            <w:r>
              <w:rPr>
                <w:color w:themeColor="text1" w:val="000000"/>
                <w:sz w:val="24"/>
                <w:szCs w:val="24"/>
              </w:rPr>
              <w:t xml:space="preserve">  от 05.05.2025 № 059-24-01-36/3-1506).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Источники противопожарного водоснабжения (пожарный водоем) расположен в радиусе 570 метров по адресу: ул. Виноградная напротив дома № 24 и 26.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 xml:space="preserve">Информация о подразделениях пожарной охраны </w:t>
              <w:br/>
              <w:t>и времени их прибытия содержится в «Расписании выезда подразделений Пермского местного пожарно-спасательного гарнизона для тушения пожаров и проведения аварийно-спасательных работ на территории Пермского городского округа, Пермского муниципального района», утвержденном Главой города Перми 26.04.2024.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 xml:space="preserve">Подразделение пожарной охраны расположено </w:t>
              <w:br/>
              <w:t>по адресу: ул. Балхашская, 135 (СПСЧ 8 10-ПСО).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Помещения для аварийно-спасательных служб и (или) аварийно-спасательных формирований на указанной территории отсутствуют.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При планировке и размещении объектов на вышеуказанной территории необходимо соблюдать нормы и требования действующего законодательства: федеральных законов от 21 декабря 1994 г. № 69-ФЗ «О пожарной безопасности» и от 22 июля 2008 г. № 123-ФЗ «Технический регламент о требованиях пожарной безопасности», Свода правил 8.13130. «Системы противопожарной защиты.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Источники наружного противопожарного водоснабжения. Требования пожарной безопасности», утвержденных приказом МЧС России от 30.03.2020 № 225, Свода правил 4.13130 «Системы противопожарной защиты.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Ограничение распространения пожара на объектах защиты. Требования к объемно-планировочным и конструктивным решениям», утвержденных Приказом МЧС России от 24.04.2013 № 288 и иной документации, касающейся норм противопожарной безопасности.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Объекты общественной безопасности, отнесенные </w:t>
              <w:br/>
              <w:t xml:space="preserve">к объектам полиции (участковые пункты полиции) </w:t>
              <w:br/>
              <w:t>в данном микрорайоне отсутствуют.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val="auto"/>
              </w:rPr>
            </w:pPr>
            <w:r>
              <w:rPr>
                <w:color w:themeColor="text1" w:val="000000"/>
                <w:sz w:val="24"/>
                <w:szCs w:val="24"/>
              </w:rPr>
              <w:t>В со</w:t>
            </w:r>
            <w:r>
              <w:rPr>
                <w:color w:val="auto"/>
                <w:sz w:val="24"/>
                <w:szCs w:val="24"/>
              </w:rPr>
              <w:t>ответствии с информацией, предоставленной Министерством территориальной безопасности Пермского края (письмо от 07.10.2020 № 964-с), данная территория попадает в зону возможного химического заражения в особый период.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На указанной территории оконечные устройства системы оповещения населения города Перми отсутствуют. Для обеспечения покрытия запланированной территории системой оповещения населения необходимо предусматривать размещение сиренно-речевых узлов согласно пунктам 6.38, 6.39 СП 165.1325800.2014 «Свод правил. Инженерно-технические мероприятия по гражданской обороне. Актуализированная редакция СНиП 2.01.51-90», утвержденные Приказом Минстроя России от 12.11.2014 No 705/пр.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themeColor="text1" w:val="000000"/>
                <w:sz w:val="24"/>
                <w:szCs w:val="24"/>
              </w:rPr>
              <w:t>департамента общественной безопасности администрации города Перми</w:t>
            </w:r>
            <w:r>
              <w:rPr>
                <w:color w:themeColor="text1" w:val="000000"/>
                <w:sz w:val="24"/>
                <w:szCs w:val="24"/>
              </w:rPr>
              <w:t xml:space="preserve"> от 06.05.2025 № 059-10-01-27/3-988).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На период до 2028 года 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не предусмотрено строительство сетей водоснабжения и водоотведения в мкр. Новобродовский.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themeColor="text1" w:val="000000"/>
                <w:sz w:val="24"/>
                <w:szCs w:val="24"/>
              </w:rPr>
              <w:t>департамента жилищно-коммунального хозяйства администрации города Перми</w:t>
            </w:r>
            <w:r>
              <w:rPr>
                <w:color w:themeColor="text1" w:val="000000"/>
                <w:sz w:val="24"/>
                <w:szCs w:val="24"/>
              </w:rPr>
              <w:t xml:space="preserve"> от 05.05.2025 № 059-04-17/3-356-ри).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</w:tc>
      </w:tr>
      <w:tr>
        <w:trPr>
          <w:trHeight w:val="108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4"/>
              </w:numPr>
              <w:spacing w:before="0" w:after="0"/>
              <w:ind w:hanging="283" w:left="51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и (или) минимально допустимые параметры разрешенного строительства</w:t>
              <w:br/>
              <w:t>объекта капитального строительства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Cs w:val="24"/>
              </w:rPr>
              <w:t xml:space="preserve">В </w:t>
            </w:r>
            <w:r>
              <w:rPr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Cs w:val="24"/>
                <w:lang w:val="en-US"/>
              </w:rPr>
              <w:t>www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torgi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gov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</w:t>
            </w:r>
            <w:r>
              <w:rPr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9" w:tgtFrame="http://www.gorodperm.ru/">
              <w:r>
                <w:rPr>
                  <w:rStyle w:val="Hyperlink"/>
                  <w:szCs w:val="24"/>
                </w:rPr>
                <w:t>www.gorodperm.ru</w:t>
              </w:r>
            </w:hyperlink>
            <w:r>
              <w:rPr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Проектирование и строительство необходимо вести </w:t>
              <w:br/>
              <w:t>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 (ред. от 17.05.2023): дом должен включать жилые комнаты – одну или несколько (общую комнату или гостиную, спальню), 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санузел, переднюю.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Согласно пункту 6.1 СП 55.13330.2016 площади помещений строящихся и реконструируемых жилых домов должны быть не менее: общей комнаты в однокомнатном доме - 14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, общей комнаты в доме с числом комнат две и более - 16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, спальни - 8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 xml:space="preserve"> (на двух человек - 10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); кухни - 8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 xml:space="preserve">; кухонной зоны </w:t>
              <w:br/>
              <w:t>в кухне-столовой - 6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. В домах с одной комнатой допускается проектировать кухни или кухни-ниши площадью не менее 5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. Площадь спальни и кухни в мансардном этаже (или этаже с наклонными ограждающими конструкциями) допускается не менее 7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 xml:space="preserve"> при условии, что общая жилая комната имеет площадь не менее 16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pacing w:val="-2"/>
                <w:sz w:val="24"/>
                <w:szCs w:val="24"/>
              </w:rPr>
            </w:pPr>
            <w:r>
              <w:rPr>
                <w:color w:themeColor="text1" w:val="000000"/>
                <w:spacing w:val="-2"/>
                <w:sz w:val="24"/>
                <w:szCs w:val="24"/>
              </w:rPr>
              <w:t xml:space="preserve">Согласно пункту 6.2 СП 55.13330.2016 высота (от пола до потолка) комнат и кухни (кухни-столовой) </w:t>
              <w:br/>
              <w:t>в климатических районах строительства IА, IБ, IГ, IД, определяемых по СП 131.13330, должна быть не менее 2,7 м, а в других климатических районах строительства - не менее 2,5 м. Высота внутридомовых коридоров, холлов, передних, антресолей должна составлять не менее 2,1 м, а высота пути эвакуации - не менее 2,2 м.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В жилых комнатах и кухнях, расположенных </w:t>
              <w:br/>
              <w:t>в этажах с наклонными ограждающими конструкциями или в мансардном этаже, допускается уменьшение высоты помещений (от пола до потолка), относительно нормируемой на площади, не превышающей 50%.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</w:pPr>
            <w:r>
              <w:rPr>
                <w:color w:themeColor="text1" w:val="000000"/>
                <w:sz w:val="24"/>
              </w:rPr>
              <w:t xml:space="preserve">Согласно информации, содержащейся в ГПЗУ </w:t>
              <w:br/>
              <w:t>от 23.05.2025 № РФ-59-2-03-0-00-2025-1115-0 (далее – ГПЗУ),</w:t>
            </w:r>
            <w:r>
              <w:rPr>
                <w:color w:themeColor="text1" w:val="000000"/>
                <w:sz w:val="24"/>
                <w:highlight w:val="white"/>
              </w:rPr>
              <w:t xml:space="preserve"> документации по планировке территории, утвержденной постановлением администрации города Перми от 22.12.2017 № 1178, возможная предельная высота жилой застройки - до 10,5 метров.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  <w:highlight w:val="white"/>
              </w:rPr>
              <w:t>Согласно ГПЗУ минимальный отступ от границ Уч</w:t>
            </w:r>
            <w:r>
              <w:rPr>
                <w:color w:themeColor="text1" w:val="000000"/>
                <w:sz w:val="24"/>
              </w:rPr>
              <w:t xml:space="preserve">астка до места допустимого размещения зданий, строений </w:t>
            </w:r>
            <w:r>
              <w:rPr>
                <w:color w:themeColor="text1" w:val="000000"/>
                <w:sz w:val="24"/>
                <w:szCs w:val="24"/>
              </w:rPr>
              <w:t>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</w:t>
            </w:r>
            <w:r>
              <w:rPr>
                <w:color w:themeColor="text1" w:val="000000"/>
                <w:sz w:val="24"/>
              </w:rPr>
              <w:t xml:space="preserve"> – 3 м.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Максимальный процент застройки в границах Участка – 30%.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  <w:lang w:val="en-US"/>
              </w:rPr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ind w:hanging="284" w:left="410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/>
              <w:t xml:space="preserve">В </w:t>
            </w:r>
            <w:r>
              <w:rPr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lang w:val="en-US"/>
              </w:rPr>
              <w:t>www</w:t>
            </w:r>
            <w:r>
              <w:rPr/>
              <w:t>.</w:t>
            </w:r>
            <w:r>
              <w:rPr>
                <w:lang w:val="en-US"/>
              </w:rPr>
              <w:t>torgi</w:t>
            </w:r>
            <w:r>
              <w:rPr/>
              <w:t>.</w:t>
            </w:r>
            <w:r>
              <w:rPr>
                <w:lang w:val="en-US"/>
              </w:rPr>
              <w:t>gov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0" w:tgtFrame="http://www.gorodperm.ru/">
              <w:r>
                <w:rPr>
                  <w:rStyle w:val="Hyperlink"/>
                </w:rPr>
                <w:t>www.gorodperm.ru</w:t>
              </w:r>
            </w:hyperlink>
            <w:r>
              <w:rPr/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О наличии технической возможности технологического присоединения к электросетям филиала энергопринимающего устройства объекта капитального строительства с предполагаемой максимальной мощностью 15 кВт сообщает следующее.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Порядок технологического присоединения к электрическим сетям регламентирован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лица, к электрическим сетям, утвержденными постановлением Правительства РФ от 27.12.2004 № 861 (далее – Правила ТП).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В силу пункта 6 Правил ТП технологическое присоединение осуществляется на основании договора заключаемого между сетевой организацией </w:t>
              <w:br/>
              <w:t>и юридическим или физическим лицом. Перечень мероприятий по технологическому присоединению определяется в технических условиях.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Согласно пунктам 15, 25, 25.1 Правил ТП технические условия являются неотъемлемым приложением к соответствующему договору технологического присоединения и представляют собой техническое решение присоединения конкретного энергопринимающего устройства к сетям электросетевой организации, которое предусматривают точки присоединения, требования к усилению существующей сети, иные технические требования. Следовательно, технические условия для технологического присоединения предоставляются заявителю сетевой организацией вместе с договором </w:t>
              <w:br/>
              <w:t>о технологическом присоединении.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Для получения технических условий и заключения договора на технологическое присоединении необходимо направить в адрес филиала ПАО «Россети Урал» - «Пермэнерго» соответствующую заявку </w:t>
              <w:br/>
              <w:t>с указанием сведений и приложением необходимых документов в соответствии с Правилами ТП через единый федеральный портал электросетевых услуг группы компаний «Россети» – ПОРТАЛ-ТП.РФ.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При подготовке ГПЗУ необходимо предусмотреть коридоры для строительства кабельных линий и место для размещения трансформаторных подстанций.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bCs/>
                <w:color w:themeColor="text1" w:val="000000"/>
                <w:sz w:val="24"/>
                <w:szCs w:val="24"/>
              </w:rPr>
              <w:t xml:space="preserve">ПАО «Россети Урал» - «Пермэнерго» Пермские </w:t>
            </w:r>
            <w:r>
              <w:rPr>
                <w:b/>
                <w:color w:themeColor="text1" w:val="000000"/>
                <w:sz w:val="24"/>
                <w:szCs w:val="24"/>
              </w:rPr>
              <w:t>городские электрические сети»</w:t>
            </w:r>
            <w:r>
              <w:rPr>
                <w:color w:themeColor="text1" w:val="000000"/>
                <w:sz w:val="24"/>
                <w:szCs w:val="24"/>
              </w:rPr>
              <w:t xml:space="preserve"> от 15.05.2025 № ПЭ/ПГЭС/22/230).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расположен вне зоны теплоснабжения ПАО «Т Плюс».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запроса информации о возможности подключения земельного участка рекомендуется обратиться к собственникам близлежащих тепловых сетей/источников теплоснабжения или рассмотреть возможность альтернативного источника теплоснабжения.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themeColor="text1" w:val="000000"/>
                <w:sz w:val="24"/>
                <w:szCs w:val="24"/>
              </w:rPr>
              <w:t>ПАО «Т Плюс»</w:t>
            </w:r>
            <w:r>
              <w:rPr>
                <w:color w:themeColor="text1" w:val="000000"/>
                <w:sz w:val="24"/>
                <w:szCs w:val="24"/>
              </w:rPr>
              <w:t xml:space="preserve"> от 07.05.2025 № 51000-32-01560).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возможность подключения к сетям теплоснабжения отсутствует. Рекомендовано рассмотреть альтернативный источник теплоснабжения – газ, электричеставо, дрова, пеллеты.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4"/>
              </w:rPr>
              <w:t>департамента жилищно-коммунального хозяйства администрации города Перми</w:t>
            </w:r>
            <w:r>
              <w:rPr>
                <w:color w:themeColor="text1" w:val="000000"/>
                <w:sz w:val="24"/>
                <w:szCs w:val="24"/>
              </w:rPr>
              <w:t xml:space="preserve"> от 13.05.2025 № 059-04-25/3-72-ри).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Техническая возможность подключения объекта капитального строительства с предполагаемой максимальной нагрузкой 8 куб.м/час к существующим сетям газораспределения имеется.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Для рассмотрения вопроса о предоставлении технических условий на подключение (технологическое присоединение) необходимо направить запрос с приложением необходимых документов и сведений на электронную почту post@pf.ugaz.ru, либо почтовым отправлением по адресу: г. Пермь, ул. Уральская, 104, через Единый центр предоставления услуг по адресу: г. Пермь, ул. Уральская, д. 104, каб. 101.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bCs/>
                <w:color w:themeColor="text1" w:val="000000"/>
                <w:sz w:val="24"/>
                <w:szCs w:val="24"/>
              </w:rPr>
              <w:t>АО «Газпром газораспределение Пермь»</w:t>
            </w:r>
            <w:r>
              <w:rPr>
                <w:color w:themeColor="text1" w:val="000000"/>
                <w:sz w:val="24"/>
                <w:szCs w:val="24"/>
              </w:rPr>
              <w:t xml:space="preserve"> от 23.05.2025 № ПФ-3477).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О наличии технической возможности для подключения сетей водоснабжения и водоотведения с предполагаемой величиной нагрузки 1,0 м3/сут. сообщается, что</w:t>
            </w: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 xml:space="preserve"> ближайшей сетью водоснабжения, эксплуатируемой ООО «НОВОГОР- Прикамье», располагаются в районе здания по Бродовскому тракту, 15 ориентировочно на расстоянии - 10,00 км от выше указанного земельного участка. Ближайшие сети водоотведения, эксплуатируемой ООО «НОВОГОР- Прикамье», располагаются в районе здания по ул. Героев Хасана, 109/2 ориентировочно на расстоянии - 11,0 км от выше указанного земельного участка.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:lang w:val="ru-RU" w:eastAsia="ru-RU" w:bidi="ru-RU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 xml:space="preserve">При проектировании может быть применен альтернативный способ водоснабжения без подключения к централизованной системе водоснабжения (от скважины) и альтернативный способ канализования, без подключения к централизованной системе канализации г. Перми (отвод стоков </w:t>
              <w:br/>
              <w:t>на локальные очистные сооружения, канализование объекта в выгребную яму с последующим вывозом стоков спец. машинами), который должен соответствовать всем нормативным требованиям Российской Федерации.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 xml:space="preserve">Кроме того, ООО «НОВОГОР-Прикамье» </w:t>
              <w:br/>
              <w:t xml:space="preserve">не располагает сведениями о наличии сетей 3-х лиц </w:t>
              <w:br/>
              <w:t>в границах Участка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 xml:space="preserve">(Аналогичная информация отражена в письме  </w:t>
            </w:r>
            <w:r>
              <w:rPr>
                <w:b/>
                <w:color w:themeColor="text1" w:val="000000"/>
                <w:sz w:val="24"/>
                <w:szCs w:val="24"/>
                <w:lang w:val="ru-RU" w:eastAsia="ru-RU" w:bidi="ru-RU"/>
              </w:rPr>
              <w:t xml:space="preserve">ООО «НОВОГОР-Прикамье» </w:t>
            </w: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>от 07.05.2025 № 110-6290).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b w:val="false"/>
                <w:bCs w:val="false"/>
                <w:color w:themeColor="text1" w:val="000000"/>
                <w:highlight w:val="none"/>
                <w14:ligatures w14:val="none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Технологическое присоединение к сетям связи ПАО «Ростелеком» может быть произведено к узлу ВОЛС (г. Пермь, ул. Патриса Лумумбы, д. 6), максимальную нагрузку в точке подключения (технологического присоединения) необходимо определить на стадии проектирования.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 xml:space="preserve">В границах Участка сетей связи ПАО «Ростелеком» </w:t>
              <w:br/>
              <w:t>и их охранных зон нет.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color w:themeColor="text1" w:val="000000"/>
                <w:spacing w:val="-6"/>
                <w:sz w:val="24"/>
                <w:szCs w:val="24"/>
              </w:rPr>
              <w:t xml:space="preserve">Для получения технических условий </w:t>
              <w:br/>
              <w:t xml:space="preserve">на подключение к сетям связи необходимо обратиться </w:t>
              <w:br/>
              <w:t xml:space="preserve">в Отдел продаж и обслуживания по адресу: г. Пермь, </w:t>
              <w:br/>
              <w:t>ул. Крупской, 2, тел.:(342) 235-57-34 или направить запрос на perm-mail@ural.rt.ru.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bCs/>
                <w:color w:themeColor="text1" w:val="000000"/>
                <w:sz w:val="24"/>
                <w:szCs w:val="24"/>
              </w:rPr>
              <w:t xml:space="preserve">ПАО «Ростелеком» </w:t>
            </w: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от 12.05.2025 № 01/05/69816/25).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(размер ежегодной арендной платы)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right="0"/>
              <w:rPr/>
            </w:pPr>
            <w:r>
              <w:rPr>
                <w:b w:val="false"/>
                <w:bCs w:val="false"/>
                <w:sz w:val="24"/>
                <w:szCs w:val="24"/>
              </w:rPr>
              <w:t xml:space="preserve">По условиям пункта 4.3 проекта договора аренды земельного участка, приобретаемого на торгах в форме аукциона, для строительства  (Приложение 2 к настоящему извещению), победитель аукциона, иное лицо, с которым договор заключается в соответствии с п.13, п.14, п. 20 или п. 25  ст. 39.12 Земельного Кодекса Российской Федерации (далее – ЗК РФ), обязан до подписания договора уплатить ежегодный размер арендной платы, указанный в п. 4.2 договора </w:t>
              <w:br/>
              <w:t xml:space="preserve">(за вычетом задатка, внесенного для участия </w:t>
              <w:br/>
              <w:t>в аукционе)</w:t>
            </w: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 xml:space="preserve"> </w:t>
            </w:r>
            <w:r>
              <w:rPr>
                <w:b/>
                <w:bCs/>
                <w:sz w:val="24"/>
                <w:szCs w:val="24"/>
                <w:shd w:fill="auto" w:val="clear"/>
              </w:rPr>
              <w:t>за 1 год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</w:rPr>
              <w:t xml:space="preserve">на счет департамента земельных отношений администрации города Перми, 614015, </w:t>
              <w:br/>
              <w:t xml:space="preserve">ул. Сибирская,15, </w:t>
              <w:br/>
              <w:t xml:space="preserve">тел. 212-61-90 (отдел договоров), </w:t>
            </w: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>реквизиты которого указаны в проекте договора аренды земельного участка (Приложение 2 к настоящему извещению)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598 000 руб.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29 900 руб.</w:t>
            </w:r>
          </w:p>
        </w:tc>
      </w:tr>
      <w:tr>
        <w:trPr>
          <w:trHeight w:val="41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11" w:tgtFrame="http://www.torgi.gov.ru/">
              <w:r>
                <w:rPr>
                  <w:rStyle w:val="Hyperlink"/>
                  <w:sz w:val="24"/>
                  <w:szCs w:val="24"/>
                  <w:lang w:val="en-US"/>
                </w:rPr>
                <w:t>www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torgi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gov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  <w:szCs w:val="24"/>
              </w:rPr>
              <w:t>, www.gorodperm.ru (раздел Деятельность/Муниципальная собственность/Торговая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jc w:val="both"/>
              <w:rPr>
                <w:b/>
                <w:bCs/>
                <w:color w:val="000000"/>
                <w:sz w:val="24"/>
                <w:szCs w:val="24"/>
                <w:shd w:fill="auto" w:val="clear"/>
                <w14:ligatures w14:val="none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  <w:t xml:space="preserve">Решение о проведении аукциона принято </w:t>
              <w:br/>
              <w:t xml:space="preserve">в соответствии со статьей 39.18 Земельного кодекса Российской Федерации, </w:t>
            </w: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  <w:r>
              <w:rPr>
                <w:sz w:val="24"/>
                <w:szCs w:val="24"/>
              </w:rPr>
              <w:t xml:space="preserve"> 000 руб.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аренды земельного участка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лет</w:t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z w:val="24"/>
                <w:szCs w:val="24"/>
                <w:shd w:fill="auto" w:val="clear"/>
                <w:lang w:val="en-US" w:eastAsia="en-US"/>
              </w:rPr>
              <w:t>сайтах www.torgi.gov.ru, www.gorodperm.ru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15.04.2025</w:t>
            </w:r>
          </w:p>
        </w:tc>
      </w:tr>
      <w:tr>
        <w:trPr>
          <w:trHeight w:val="188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является Приложением 2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gorodperm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участков).</w:t>
            </w:r>
          </w:p>
        </w:tc>
      </w:tr>
      <w:tr>
        <w:trPr>
          <w:trHeight w:val="14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2</w:t>
      </w:r>
    </w:p>
    <w:tbl>
      <w:tblPr>
        <w:tblW w:w="10485" w:type="dxa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67"/>
        <w:gridCol w:w="3054"/>
        <w:gridCol w:w="6864"/>
      </w:tblGrid>
      <w:tr>
        <w:trPr>
          <w:trHeight w:val="87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указанного решения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Перми, распоряжение начальника департамента земельных отношений администрации город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>а Перми от 11 июня 2025 г. № 21-01-03-4917 «О проведении аукциона на право заключения договора аренды земельного участка в Свердловском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на право заключения договора аренды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256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жилой район Ново-Бродовский, улица Смородиновая, з/у 93а</w:t>
            </w:r>
          </w:p>
        </w:tc>
      </w:tr>
      <w:tr>
        <w:trPr>
          <w:trHeight w:val="14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площадь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1522 кв. м</w:t>
            </w:r>
          </w:p>
        </w:tc>
      </w:tr>
      <w:tr>
        <w:trPr>
          <w:trHeight w:val="15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кадастровый номер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59:01:5010044:118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разрешенное использование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</w:t>
            </w:r>
          </w:p>
        </w:tc>
      </w:tr>
      <w:tr>
        <w:trPr>
          <w:trHeight w:val="57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  <w:p>
            <w:pPr>
              <w:pStyle w:val="Normal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 03.07.2025г.                    № КУВИ-001/2025-133522024 (далее – ЕГРН);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28.05.2025 № РФ-59-2-03-0-00-2025-1193-0 (далее – ГПЗУ).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соответствии со сведениями из ЕГРН, копией планшета М 1:1000 (требуется корректура) и геодезической съемкой, выполненной в 2025 году, объекты капитального/некапитального строительства в границах Участка отсутствуют.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Участок ограждения не имеет, на территории расположена дикорастущая травянистая и древесно-кустарниковая растительность, имеются признаки зарастания более 50% площади Участка дикорастущими деревьями. </w:t>
            </w:r>
            <w:r>
              <w:rPr>
                <w:sz w:val="24"/>
                <w:szCs w:val="24"/>
              </w:rPr>
              <w:t>На Участке объекты движимого и(или) недвижимого имущества, самовольно установленные и незаконно размещенные движимые объекты, самовольные постройки отсутствуют.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Ближайшие источники противопожарного водоснабжения (пожарные водоемы) расположены: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>ул. Виноградная, 22, емкость 100 куб.м, собственник (гарантирующая организация) ЖК «Янтарный»,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 ул. Ореховая, 102, емкость 100 куб.м, муниципальная собственность.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color w:themeColor="text1" w:val="000000"/>
                <w:sz w:val="24"/>
                <w:szCs w:val="24"/>
                <w:highlight w:val="white"/>
              </w:rPr>
              <w:t>администрации Свердловского района города Перми</w:t>
            </w: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 от 16.05.2025 № 059-39-01-30/3-203, в акте выездного обследования от 15.05.2025).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Согласно сведениям, содержащимся в ГПЗУ, ЕГРН </w:t>
              <w:br/>
              <w:t xml:space="preserve">и справке по градостроительным условиям от 03.07.2025 № 636725, Участок полностью расположен в границах зоны с особыми условиями использования территории </w:t>
              <w:br/>
              <w:t>в Приаэродромной территории аэродрома аэропорта Большое Савино, реестровый номер границы 59:32-6.553.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Проектирование и строительство вести </w:t>
              <w:br/>
              <w:t xml:space="preserve">в соответствии с постановлением Правительства Российской Федерации от 11.03.2010 № 138 </w:t>
              <w:br/>
              <w:t xml:space="preserve">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</w:t>
              <w:br/>
              <w:t>подходов –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 xml:space="preserve">На Участке произрастает 31 дерево – ель 5 шт., сосна 23 шт., липа 3 шт. Средняя стоимость в ценах 2025 года одного дерева лиственной породы от 25 тыс. руб., а хвойной – </w:t>
              <w:br/>
              <w:t>от 30 тыс. руб.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themeColor="text1" w:val="000000"/>
                <w:spacing w:val="0"/>
              </w:rPr>
            </w:pPr>
            <w:r>
              <w:rPr>
                <w:rFonts w:eastAsia="Times New Roman" w:cs="Times New Roman"/>
                <w:color w:themeColor="text1" w:val="000000"/>
                <w:spacing w:val="0"/>
                <w:sz w:val="24"/>
              </w:rPr>
              <w:t>Победителю аукциона необходимо соблюдать условия строительства, перечисленные в перечне мероприятий по охране окружающей среды от 27.05.2025 № 127 (прилагается).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color w:themeColor="text1" w:val="000000"/>
                <w:spacing w:val="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color w:themeColor="text1" w:val="000000"/>
                <w:spacing w:val="0"/>
                <w:sz w:val="24"/>
                <w:szCs w:val="24"/>
                <w:highlight w:val="white"/>
              </w:rPr>
              <w:t>управления по экологии и природопользованию администрации города Перми</w:t>
            </w:r>
            <w:r>
              <w:rPr>
                <w:rFonts w:eastAsia="Times New Roman" w:cs="Times New Roman"/>
                <w:color w:themeColor="text1" w:val="000000"/>
                <w:spacing w:val="0"/>
                <w:sz w:val="24"/>
                <w:szCs w:val="24"/>
                <w:highlight w:val="white"/>
              </w:rPr>
              <w:t xml:space="preserve"> от 27.05.2025 № 059-33-01-10/3-276).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>Бюджетом города Перми на период 2025-2029 годы мероприятия по строительству, реконструкции, капитальному ремонту улично-дорожной сети на рассматриваемой территории не предусмотрены.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283" w:left="0" w:right="0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Для примыкания Участка к улично-дорожной сети города Перми н</w:t>
            </w:r>
            <w:r>
              <w:rPr>
                <w:rFonts w:eastAsia="Times New Roman" w:cs="Times New Roman"/>
                <w:color w:themeColor="text1" w:val="000000"/>
                <w:sz w:val="24"/>
              </w:rPr>
              <w:t>еобходимо выполнить условия, указанные в письме (прилагается).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283" w:left="0" w:right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</w:rPr>
              <w:t>Также направлена информация о соблюдении Правил благоустройства территории города Перми, утвержденных решением Пермской городской Думы от 15.12.2020 № 277, при строительстве объектов недвижимости на земельных участках, предоставленных на торгах.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В соответствии с Федеральным законом </w:t>
              <w:br/>
              <w:t xml:space="preserve">от 08.11.2007 № 257, расходы на строительства, реконструкцию, капитальный ремонт, ремонт пересечений и примыканий, в том числе расходы на выполнение дополнительных работ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</w:t>
              <w:br/>
              <w:t>в интересах которых осуществляется строительство, реконструкция, капитальный ремонт, ремонт пересечений или примыканий.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color w:themeColor="text1" w:val="000000"/>
                <w:sz w:val="24"/>
                <w:szCs w:val="24"/>
                <w:highlight w:val="white"/>
              </w:rPr>
              <w:t>департамента дорог и благоустройства администрации города Перми</w:t>
            </w:r>
            <w:r>
              <w:rPr>
                <w:rFonts w:eastAsia="Times New Roman" w:cs="Times New Roman"/>
                <w:color w:themeColor="text1" w:val="000000"/>
                <w:sz w:val="24"/>
                <w:szCs w:val="24"/>
                <w:highlight w:val="white"/>
              </w:rPr>
              <w:t xml:space="preserve"> от 21.05.2025 № 059-24-01-36/3-1711).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На указанной территории источники противопожарного водоснабжения отсутствуют.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Информация о подразделениях пожарной охраны </w:t>
              <w:br/>
              <w:t>и времени их прибытия содержится в «Расписании выезда подразделений Пермского местного пожарно-спасательного гарнизона для тушения пожаров и проведения аварийно-спасательных работ на территории Пермского городского округа, Пермского муниципального района», утвержденном Главой города Перми 26.04.2024.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Ближайшее подразделение пожарной охраны расположено по адресу: г. Пермь, ул. Балхашская, 135 (СПСЧ-8 10-ПСО).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Помещения для аварийно-спасательных служб и (или) аварийно-спасательных формирований на указанной территории отсутствуют.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При планировке и размещении объектов </w:t>
              <w:br/>
              <w:t>на вышеуказанной территории необходимо соблюдать нормы и требования действующего законодательства: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федеральных законов от 21 декабря 1994 г. N 69-ФЗ «О пожарной безопасности» и от 22 июля 2008 г. N 123-ФЗ «Технический регламент о требованиях пожарной безопасности», Свода правил 8.13130. «Системы противопожарной защиты.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Источники наружного противопожарного водоснабжения. Требования пожарной безопасности», утвержденных приказом МЧС России от 30.03.2020 N 225, Свода правил 4.13130 «Системы противопожарной защиты.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Ограничение распространения пожара на объектах защиты. Требования к объемно-планировочным и конструктивным решениям», утвержденных Приказом МЧС России от 24.04.2013 N 288 и иной документации, касающейся норм противопожарной безопасности.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Объект общественной безопасности, отнесенный </w:t>
              <w:br/>
              <w:t xml:space="preserve">к объектам полиции (участковые пункты полиции), </w:t>
              <w:br/>
              <w:t>в данном микрорайоне Новобродовский о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тсутствует.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Ближайший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участковый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пункт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расположен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по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адресу: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г.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Пермь,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ул. Казахская, 104 (микрорайон Южный, Свердловский район).</w:t>
            </w:r>
          </w:p>
          <w:p>
            <w:pPr>
              <w:pStyle w:val="Normal"/>
              <w:spacing w:lineRule="auto" w:line="240" w:before="0" w:after="0"/>
              <w:ind w:firstLine="283" w:left="0" w:right="33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С учетом активной застройки, увеличении населения данного микрорайона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и при размещении объектов строительства многоквартирных жилых домов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необходимо предусмотреть помещения под участковые пункты полиции.</w:t>
            </w:r>
          </w:p>
          <w:p>
            <w:pPr>
              <w:pStyle w:val="Normal"/>
              <w:spacing w:lineRule="auto" w:line="240" w:before="0" w:after="0"/>
              <w:ind w:firstLine="283" w:left="0" w:right="3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В соответствии со Сводом правил СП 500.1325800.2018 «Здания полиции. Правила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проектирования», утвержденным приказом Министерства строительства и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жилищно-коммунального хозяйства Российской Федерации </w:t>
              <w:br/>
              <w:t>от 17.01.2018 N 19/пр,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площадь кабинета участкового уполномоченного полиции составляет 12 м2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(приложение Г, таблица И1). Согласно пункту 3 Инструкции по исполнению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участковым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уполномоченным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полиции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служебных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обязанностей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на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обслуживаемом административном участке, утвержденной приказом МВД России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от 29.03.2019 </w:t>
              <w:br/>
              <w:t>N 205, за участковым уполномоченным полиции приказом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начальника территориального органа МВД России на районном уровне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закрепляется административный участок, размеры и границы которого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определяются: в городах исходя </w:t>
              <w:br/>
              <w:t>из численности проживающего населения и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граждан, состоящих на профилактическом учете, состояния оперативной обстановки, особенностей административно-территориального деления муниципальных образований.</w:t>
            </w:r>
          </w:p>
          <w:p>
            <w:pPr>
              <w:pStyle w:val="Normal"/>
              <w:spacing w:lineRule="auto" w:line="240" w:before="0" w:after="0"/>
              <w:ind w:firstLine="283" w:left="0" w:right="3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В соответствии с информацией, предоставленной Министерством территориальной безопасности Пермского края (письмо от 07.10.2020 № 964с), рассматриваемый земельный участок попадает в зону возможного химического заражения в особый период.</w:t>
            </w:r>
          </w:p>
          <w:p>
            <w:pPr>
              <w:pStyle w:val="Normal"/>
              <w:spacing w:lineRule="auto" w:line="240" w:before="0" w:after="0"/>
              <w:ind w:firstLine="283" w:left="0" w:right="33"/>
              <w:jc w:val="both"/>
              <w:rPr/>
            </w:pPr>
            <w:r>
              <w:rPr>
                <w:rFonts w:eastAsia="Times New Roman" w:cs="Times New Roman"/>
                <w:highlight w:val="white"/>
              </w:rPr>
              <w:t>В связи с тем, что территория не попадает в зону действия региональной системы оповещения населения города Перми, необходимо предусмотреть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  <w:highlight w:val="white"/>
              </w:rPr>
              <w:t>размещение дополнительных сиренно-речевых узлов системы оповещения,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  <w:highlight w:val="white"/>
              </w:rPr>
              <w:t>согласно пунктам 6.38, 6.39 СП 165.1325800.2014 «Свод правил. Инженерно-технические мероприятия по гражданской обороне. Актуализированная редакция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  <w:highlight w:val="white"/>
              </w:rPr>
              <w:t>СНиП 2.01.51-90».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color w:themeColor="text1" w:val="000000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b/>
                <w:color w:themeColor="text1" w:val="000000"/>
                <w:spacing w:val="-6"/>
                <w:sz w:val="24"/>
                <w:szCs w:val="24"/>
                <w:highlight w:val="white"/>
              </w:rPr>
              <w:t>департамента общественной безопасности администрации города Перми</w:t>
            </w:r>
            <w:r>
              <w:rPr>
                <w:color w:themeColor="text1" w:val="000000"/>
                <w:spacing w:val="-6"/>
                <w:sz w:val="24"/>
                <w:szCs w:val="24"/>
                <w:highlight w:val="white"/>
              </w:rPr>
              <w:t xml:space="preserve"> от 15.05.2025 №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059-10-01-27/3-1050).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</w:tc>
      </w:tr>
      <w:tr>
        <w:trPr>
          <w:trHeight w:val="108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283" w:left="51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и (или) минимально допустимые параметры разрешенного строительства</w:t>
              <w:br/>
              <w:t>объекта капитального строительства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Cs w:val="24"/>
              </w:rPr>
              <w:t xml:space="preserve">В </w:t>
            </w:r>
            <w:r>
              <w:rPr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Cs w:val="24"/>
                <w:lang w:val="en-US"/>
              </w:rPr>
              <w:t>www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torgi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gov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</w:t>
            </w:r>
            <w:r>
              <w:rPr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2" w:tgtFrame="http://www.gorodperm.ru/">
              <w:r>
                <w:rPr>
                  <w:rStyle w:val="Hyperlink"/>
                  <w:szCs w:val="24"/>
                </w:rPr>
                <w:t>www.gorodperm.ru</w:t>
              </w:r>
            </w:hyperlink>
            <w:r>
              <w:rPr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Проектирование и строительство необходимо вести </w:t>
              <w:br/>
              <w:t>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725/пр. Дом должен включать жилые комнаты – одну или несколько (общую комнату или гостиную, спальню),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</w:t>
            </w:r>
            <w:r>
              <w:rPr>
                <w:sz w:val="24"/>
                <w:szCs w:val="24"/>
              </w:rPr>
              <w:t>, переднюю.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Согласно пункту 6.1 СП 55.13330.2016 площади помещений строящихся и реконструируемых жилых домов должны быть не менее: общей комнаты в однокомнатном доме - 14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, общей комнаты в доме с числом комнат две и более - 16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, спальни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(на двух человек - 10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); кухни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; кухонной зоны </w:t>
              <w:br/>
              <w:t>в кухне-столовой - 6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В домах с одной комнатой допускается проектировать кухни или кухни-ниши площадью не менее 5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Площадь спальни и кухни в мансардном этаже (или этаже с наклонными ограждающими конструкциями) допускается не менее 7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при условии, что общая жилая комната имеет площадь не менее 16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Согласно пункту 6.2 СП 55.13330.2016 высота </w:t>
              <w:br/>
              <w:t xml:space="preserve">(от пола до потолка) комнат и кухни (кухни-столовой) </w:t>
              <w:br/>
              <w:t xml:space="preserve">в климатических районах строительства IА, IБ, IГ, IД, определяемых по СП 131.13330, должна быть не менее 2,7 м, а в других климатических районах строительства - не менее 2,5 м. Высота внутридомовых коридоров, холлов, передних, </w:t>
            </w:r>
            <w:r>
              <w:rPr>
                <w:spacing w:val="-2"/>
                <w:sz w:val="24"/>
                <w:szCs w:val="24"/>
                <w:lang w:val="en-US"/>
              </w:rPr>
              <w:t>антресолей должна составлять не менее 2,1 м,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а высота пути эвакуации -</w:t>
            </w:r>
            <w:r>
              <w:rPr>
                <w:sz w:val="24"/>
                <w:szCs w:val="24"/>
                <w:lang w:val="en-US"/>
              </w:rPr>
              <w:t xml:space="preserve"> не менее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2,2 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В жилых комнатах и кухнях, расположенных </w:t>
              <w:br/>
              <w:t>в этажах с наклонными ограждающими конструкциями или в мансардном этаже, допускается уменьшение высоты помещений (от пола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до потолка), относительно нормируемой на площади, не превышающей 50%.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Согласно информации, содержащейся </w:t>
              <w:br/>
              <w:t xml:space="preserve">в градостроительном плане земельного участка </w:t>
              <w:br/>
              <w:t>от 28.05.2025 № РФ-59-2-03-0-00-2025-1193-0 (далее – ГПЗУ), предельная высота зданий, строений не более 10,5 м (документация по планировке территории, утвержденная постановлением администрации города Перми от 22.12.2017 № 1178).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Минимальный отступ от границ земельного участка до места допустимого размещения зданий, строений, сооружений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Максимальный процент застройки в границах Участка – 30%.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 w:eastAsia="Droid Sans Fallback" w:cs="Lohit Devanagari"/>
                <w:color w:val="auto"/>
                <w:sz w:val="24"/>
                <w:szCs w:val="24"/>
                <w:highlight w:val="white"/>
                <w:lang w:val="ru-RU" w:eastAsia="zh-CN" w:bidi="ar-SA"/>
              </w:rPr>
            </w:pPr>
            <w:r>
              <w:rPr>
                <w:rFonts w:eastAsia="Droid Sans Fallback" w:cs="Lohit Devanagari"/>
                <w:color w:val="auto"/>
                <w:sz w:val="24"/>
                <w:szCs w:val="24"/>
                <w:highlight w:val="white"/>
                <w:lang w:val="ru-RU" w:eastAsia="zh-CN" w:bidi="ar-SA"/>
              </w:rPr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0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/>
              <w:t xml:space="preserve">В </w:t>
            </w:r>
            <w:r>
              <w:rPr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lang w:val="en-US"/>
              </w:rPr>
              <w:t>www</w:t>
            </w:r>
            <w:r>
              <w:rPr/>
              <w:t>.</w:t>
            </w:r>
            <w:r>
              <w:rPr>
                <w:lang w:val="en-US"/>
              </w:rPr>
              <w:t>torgi</w:t>
            </w:r>
            <w:r>
              <w:rPr/>
              <w:t>.</w:t>
            </w:r>
            <w:r>
              <w:rPr>
                <w:lang w:val="en-US"/>
              </w:rPr>
              <w:t>gov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3" w:tgtFrame="http://www.gorodperm.ru/">
              <w:r>
                <w:rPr>
                  <w:rStyle w:val="Hyperlink"/>
                </w:rPr>
                <w:t>www.gorodperm.ru</w:t>
              </w:r>
            </w:hyperlink>
            <w:r>
              <w:rPr/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 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</w:rPr>
              <w:t xml:space="preserve">Порядок технологического присоединения </w:t>
              <w:br/>
              <w:t>к электрическим сетям регламентирован</w:t>
            </w:r>
            <w:r>
              <w:rPr>
                <w:sz w:val="24"/>
                <w:highlight w:val="white"/>
              </w:rPr>
              <w:t xml:space="preserve">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 № 861</w:t>
            </w:r>
            <w:r>
              <w:rPr>
                <w:sz w:val="24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>Для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получения технических условий и заключения договора на технологическое присоединение необходимо направить в адрес филиала </w:t>
            </w:r>
            <w:r>
              <w:rPr>
                <w:color w:val="131313"/>
                <w:sz w:val="24"/>
                <w:szCs w:val="24"/>
              </w:rPr>
              <w:t xml:space="preserve">ПAO </w:t>
            </w:r>
            <w:r>
              <w:rPr>
                <w:color w:val="1A1A1A"/>
                <w:sz w:val="24"/>
                <w:szCs w:val="24"/>
              </w:rPr>
              <w:t xml:space="preserve">«Россети </w:t>
            </w:r>
            <w:r>
              <w:rPr>
                <w:sz w:val="24"/>
                <w:szCs w:val="24"/>
              </w:rPr>
              <w:t xml:space="preserve">Урал» - «Пермэнерго» соответствующую заявку на технологическое присоединение с указанием сведений и приложением необходимых документов </w:t>
              <w:br/>
            </w:r>
            <w:r>
              <w:rPr>
                <w:color w:val="0F0F0F"/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соответствии с Правилами TП.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Заявку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технологическое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присоединение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можно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подать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через единый</w:t>
            </w:r>
            <w:r>
              <w:rPr>
                <w:spacing w:val="6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федеральный</w:t>
            </w:r>
            <w:r>
              <w:rPr>
                <w:spacing w:val="7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портал</w:t>
            </w:r>
            <w:r>
              <w:rPr>
                <w:spacing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электросетевых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группы</w:t>
            </w:r>
            <w:r>
              <w:rPr>
                <w:spacing w:val="6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компаний «Россети» – ПОРТАЛ-ТП.РФ.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themeColor="text1" w:val="000000"/>
                <w:sz w:val="24"/>
                <w:szCs w:val="24"/>
                <w:highlight w:val="white"/>
              </w:rPr>
              <w:t xml:space="preserve">Филиала ПАО «Россети Урал» - «Пермэнерго» </w:t>
            </w:r>
            <w:r>
              <w:rPr>
                <w:color w:themeColor="text1" w:val="000000"/>
                <w:sz w:val="24"/>
                <w:szCs w:val="24"/>
                <w:highlight w:val="white"/>
              </w:rPr>
              <w:t>от 22.05.2025 № ПЭ/ПГЭС/01/01/5968).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Техническая возможность подключения объекта капитального строительства с предполагаемой максимальной нагрузкой (часовым расходом газа) 8м</w:t>
            </w:r>
            <w:r>
              <w:rPr>
                <w:sz w:val="24"/>
                <w:szCs w:val="24"/>
                <w:highlight w:val="white"/>
                <w:vertAlign w:val="superscript"/>
              </w:rPr>
              <w:t>3</w:t>
            </w:r>
            <w:r>
              <w:rPr>
                <w:sz w:val="24"/>
                <w:szCs w:val="24"/>
                <w:highlight w:val="white"/>
              </w:rPr>
              <w:t>/час к существующим сетям газораспределения имеется.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Для рассмотрения вопроса о предоставлении технических условий на подключение (технологическое присоединение) необходимо направить заявку с приложением необходимых документов в соответствии с постановлением Правительства Российской Федерации от 13.09.2021 № 1547 </w:t>
              <w:br/>
              <w:t xml:space="preserve">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 силу некоторых актов Правительства Российской Федерации» на электронную почту post@pf.ugaz.ru, либо почтовым отправлением по адресу: г. Пермь, </w:t>
              <w:br/>
              <w:t xml:space="preserve">ул. Уральская, 104, через Единый центр предоставления услуг по адресу: г. Пермь, ул. Уральская, д. 104, </w:t>
              <w:br/>
              <w:t>каб. 101.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themeColor="text1" w:val="000000"/>
                <w:sz w:val="24"/>
                <w:szCs w:val="24"/>
                <w:highlight w:val="white"/>
              </w:rPr>
              <w:t>АО «Газпром газораспределение Пермь»</w:t>
            </w: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 от 03.06.2025 № ПФ-3735).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 районе Участка отсутствуют централизованные сети водоснабжения и водоотведения, эксплуатируемые ООО «НОВОГОР-Прикамье».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pacing w:val="-6"/>
                <w:sz w:val="24"/>
                <w:highlight w:val="white"/>
              </w:rPr>
            </w:pPr>
            <w:r>
              <w:rPr>
                <w:spacing w:val="-6"/>
                <w:sz w:val="24"/>
                <w:highlight w:val="white"/>
              </w:rPr>
              <w:t xml:space="preserve">Ближайшей сети водоснабжения, эксплуатируемые ООО «НОВОГОР-Прикамье», располагаются в районе здания по Бродовскому тракту, 15 ориентировочно </w:t>
              <w:br/>
              <w:t>на расстоянии – 10,0 км от Участка.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Ближайшей сети водоотведения, эксплуатируемые </w:t>
              <w:br/>
              <w:t xml:space="preserve">ООО «НОВОГОР-Прикамье», располагаются в районе зданий по ул. Героев Хасана, 109/2 ориентировочно </w:t>
              <w:br/>
              <w:t>на расстоянии – 11,0 км от Участка.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При проектировании может быть применен альтернативный способ водоснабжения без подключения к централизованной системе водоснабжения (от скважины) и альтернативный способ канализования, без подключения к централизованной системе канализации г. Перми (отвод стоков </w:t>
              <w:br/>
              <w:t>на локальные очистные сооружения, канализование объекта в выгребную яму с последующим вывозом стоков спец. машинами) который должен соответствовать всем нормативным требованиям Российской Федерации.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>Для сведения сообщается, что ООО «НОВОГОР-Прикамье» эксплуатирует только централизованные системы водоснабжения и водоотведения, по вопросу возможности обеспечения индивидуального жилого дома холодным водоснабжением от скважины и отвода канализационных стоков локально, предлагаем вам обратиться в соответствующие организации, регулирующие недропользование.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ООО «НОВОГОР-Прикамье» не располагает сведениями о наличии сетей 3-x лиц в границах вышеуказанного земельного участка.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themeColor="text1" w:val="000000"/>
                <w:spacing w:val="-6"/>
                <w:sz w:val="24"/>
                <w:szCs w:val="24"/>
                <w:highlight w:val="white"/>
              </w:rPr>
              <w:t>ООО «НОВО</w:t>
            </w:r>
            <w:bookmarkStart w:id="0" w:name="undefined_Копия_1"/>
            <w:bookmarkEnd w:id="0"/>
            <w:r>
              <w:rPr>
                <w:b/>
                <w:color w:themeColor="text1" w:val="000000"/>
                <w:spacing w:val="-6"/>
                <w:sz w:val="24"/>
                <w:szCs w:val="24"/>
                <w:highlight w:val="white"/>
              </w:rPr>
              <w:t xml:space="preserve">ГОР-Прикамье» </w:t>
            </w:r>
            <w:r>
              <w:rPr>
                <w:color w:themeColor="text1" w:val="000000"/>
                <w:spacing w:val="-6"/>
                <w:sz w:val="24"/>
                <w:szCs w:val="24"/>
                <w:highlight w:val="white"/>
              </w:rPr>
              <w:t>от 20.05.2025 № 110-6826).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Участок расположен вне зоны теплоснабжения ПАО </w:t>
              <w:br/>
              <w:t>«Т Плюс».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4"/>
                <w:highlight w:val="white"/>
              </w:rPr>
              <w:t xml:space="preserve"> Филиала «Пермский ПАО «Т Плюс»</w:t>
            </w: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 от 16.05.2025 № 51000-32-01658).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Техническая возможность подключения к сетям теплоснабжения отсутствует.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качестве альтернативного энергоресурса рекомендуем рассмотреть газ и обратиться в Пермский филиал АО «Газпром газораспределение Пермь», либо рассмотреть иные альтернативные энергоресурсы (электричество, дрова, пеллеты).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4"/>
                <w:highlight w:val="white"/>
              </w:rPr>
              <w:t>департамента жилищно-коммунального хозяйства администрации города Перми</w:t>
            </w: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 от 22.05.2025 № 059-04-17/3-425-ри).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Техническое присоединение планируемых к строительству объектов в границах Участка может быть произведено в точке подключения – узел ВОЛС (г. Пермь, ул. Патриса Лумумбы, д. 6), максимальную нагрузку в точке подключения (технологического присоединения) определить </w:t>
              <w:br/>
              <w:t>на стадии проектирования. В границах Участка сети ПАО «Ростелеком» отсутствуют.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highlight w:val="white"/>
              </w:rPr>
            </w:pPr>
            <w:r>
              <w:rPr>
                <w:color w:val="000000"/>
                <w:spacing w:val="-6"/>
                <w:sz w:val="24"/>
                <w:szCs w:val="24"/>
                <w:highlight w:val="white"/>
              </w:rPr>
              <w:t xml:space="preserve">Для подключения (технологического присоединения) вышеуказанных объектов к сетям электросвязи </w:t>
              <w:br/>
              <w:t>ПАО «Ростелеком»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порядке, определенном действующим законодательством.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pacing w:val="-6"/>
                <w:sz w:val="24"/>
                <w:szCs w:val="24"/>
                <w:highlight w:val="white"/>
              </w:rPr>
              <w:t>ПАО «Ростелеком»</w:t>
            </w:r>
            <w:r>
              <w:rPr>
                <w:color w:val="000000"/>
                <w:spacing w:val="-6"/>
                <w:sz w:val="24"/>
                <w:szCs w:val="24"/>
                <w:highlight w:val="white"/>
              </w:rPr>
              <w:t xml:space="preserve"> от 23.05.2025 № 01/05/77078/25).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pacing w:val="-6"/>
                <w:sz w:val="24"/>
                <w:szCs w:val="24"/>
                <w:highlight w:val="white"/>
              </w:rPr>
              <w:t xml:space="preserve">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на период до 2028 года не предусмотрено строительство сетей водоснабжения </w:t>
              <w:br/>
              <w:t>и водоотведения.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themeColor="text1" w:val="000000"/>
                <w:spacing w:val="-6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24"/>
                <w:szCs w:val="24"/>
                <w:highlight w:val="white"/>
              </w:rPr>
              <w:t>де</w:t>
            </w:r>
            <w:r>
              <w:rPr>
                <w:rFonts w:eastAsia="Times New Roman" w:cs="Times New Roman"/>
                <w:b/>
                <w:bCs w:val="false"/>
                <w:color w:val="000000"/>
                <w:spacing w:val="-6"/>
                <w:sz w:val="24"/>
                <w:szCs w:val="24"/>
                <w:highlight w:val="white"/>
              </w:rPr>
              <w:t>партамента жилищно-коммунального хозяйства администрации города Перми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spacing w:val="-6"/>
                <w:sz w:val="24"/>
                <w:szCs w:val="24"/>
                <w:highlight w:val="white"/>
              </w:rPr>
              <w:t xml:space="preserve"> от 20.05.2025 № 059-04-17/3-410-ри).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(размер ежегодной арендной платы)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right="0"/>
              <w:rPr/>
            </w:pPr>
            <w:r>
              <w:rPr>
                <w:b w:val="false"/>
                <w:bCs w:val="false"/>
                <w:sz w:val="24"/>
                <w:szCs w:val="24"/>
              </w:rPr>
              <w:t xml:space="preserve">По условиям пункта 4.3 проекта договора аренды земельного участка, приобретаемого на торгах в форме аукциона, для строительства (Приложение 3 к настоящему извещению), победитель аукциона, иное лицо, с которым договор заключается в соответствии с п.13, п.14, п. 20 или п. 25  ст. 39.12 Земельного кодекса Российской Федерации (далее – ЗК РФ), обязан до подписания договора уплатить ежегодный размер арендной платы, указанный в п. 4.2 договора </w:t>
              <w:br/>
              <w:t xml:space="preserve">(за вычетом задатка, внесенного для участия </w:t>
              <w:br/>
              <w:t xml:space="preserve">в аукционе) </w:t>
            </w:r>
            <w:r>
              <w:rPr>
                <w:b/>
                <w:bCs/>
                <w:sz w:val="24"/>
                <w:szCs w:val="24"/>
              </w:rPr>
              <w:t xml:space="preserve">за 1 год </w:t>
            </w:r>
            <w:r>
              <w:rPr>
                <w:b w:val="false"/>
                <w:bCs w:val="false"/>
                <w:sz w:val="24"/>
                <w:szCs w:val="24"/>
              </w:rPr>
              <w:t xml:space="preserve">на счет департамента земельных отношений администрации города Перми, 614015, </w:t>
              <w:br/>
              <w:t xml:space="preserve">ул. Сибирская,15, </w:t>
              <w:br/>
              <w:t xml:space="preserve">тел. 212-61-90 (отдел договоров), </w:t>
            </w: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>реквизиты которого указаны в проекте договора аренды земельного участка (Приложение 3 к настоящему извещению)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866 000 руб.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43 300 руб.</w:t>
            </w:r>
          </w:p>
        </w:tc>
      </w:tr>
      <w:tr>
        <w:trPr>
          <w:trHeight w:val="41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14" w:tgtFrame="http://www.torgi.gov.ru/">
              <w:r>
                <w:rPr>
                  <w:rStyle w:val="Hyperlink"/>
                  <w:sz w:val="24"/>
                  <w:szCs w:val="24"/>
                  <w:lang w:val="en-US"/>
                </w:rPr>
                <w:t>www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torgi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gov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  <w:szCs w:val="24"/>
              </w:rPr>
              <w:t>, www.gorodperm.ru (раздел Деятельность/Муниципальная собственность/Торговая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jc w:val="both"/>
              <w:rPr>
                <w:b/>
                <w:bCs/>
                <w:color w:val="000000"/>
                <w:sz w:val="24"/>
                <w:szCs w:val="24"/>
                <w:shd w:fill="auto" w:val="clear"/>
                <w14:ligatures w14:val="none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  <w:t xml:space="preserve">Решение о проведении аукциона принято </w:t>
              <w:br/>
              <w:t xml:space="preserve">в соответствии со статьей 39.18 Земельного кодекса Российской Федерации, </w:t>
            </w: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433 000 руб.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аренды земельного участка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лет</w:t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z w:val="24"/>
                <w:szCs w:val="24"/>
                <w:shd w:fill="auto" w:val="clear"/>
                <w:lang w:val="en-US" w:eastAsia="en-US"/>
              </w:rPr>
              <w:t>сайтах www.torgi.gov.ru, www.gorodperm.ru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11.03.2025</w:t>
            </w:r>
          </w:p>
        </w:tc>
      </w:tr>
      <w:tr>
        <w:trPr>
          <w:trHeight w:val="188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является Приложением 3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gorodperm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участков).</w:t>
            </w:r>
          </w:p>
        </w:tc>
      </w:tr>
      <w:tr>
        <w:trPr>
          <w:trHeight w:val="14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rFonts w:eastAsia="Courier New"/>
          <w:b/>
          <w:bCs/>
          <w:highlight w:val="none"/>
          <w:lang w:bidi="ru-RU"/>
        </w:rPr>
      </w:pPr>
      <w:r>
        <w:rPr>
          <w:rFonts w:eastAsia="Courier New"/>
          <w:b/>
          <w:bCs/>
          <w:lang w:bidi="ru-RU"/>
        </w:rPr>
        <w:t>Лот № 3</w:t>
      </w:r>
    </w:p>
    <w:tbl>
      <w:tblPr>
        <w:tblW w:w="10485" w:type="dxa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67"/>
        <w:gridCol w:w="3054"/>
        <w:gridCol w:w="6864"/>
      </w:tblGrid>
      <w:tr>
        <w:trPr>
          <w:trHeight w:val="87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указанного решения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Перми, распоряжение начальника департамента земельных отношений администрации город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>а Перми  от 11 июня   2025 г. № 21-01-03-4945 «О проведении аукциона на право заключения договора аренды земельного участка в Мотовилихинском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на право заключения договора аренды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ind w:hanging="277" w:left="419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256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улица Сарапульская, з/у 16</w:t>
            </w:r>
          </w:p>
        </w:tc>
      </w:tr>
      <w:tr>
        <w:trPr>
          <w:trHeight w:val="14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площадь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 кв. м</w:t>
            </w:r>
          </w:p>
        </w:tc>
      </w:tr>
      <w:tr>
        <w:trPr>
          <w:trHeight w:val="15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кадастровый номер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59:01:4211120:152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ind w:hanging="284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ind w:hanging="277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разрешенное использование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</w:t>
            </w:r>
          </w:p>
        </w:tc>
      </w:tr>
      <w:tr>
        <w:trPr>
          <w:trHeight w:val="57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ind w:hanging="284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  <w:p>
            <w:pPr>
              <w:pStyle w:val="Normal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 </w:t>
            </w:r>
            <w:r>
              <w:rPr>
                <w:sz w:val="24"/>
                <w:szCs w:val="24"/>
                <w:highlight w:val="white"/>
              </w:rPr>
              <w:t>03.07.2025г.                    № КУВИ-001/2025-133522020</w:t>
            </w:r>
            <w:r>
              <w:rPr>
                <w:sz w:val="24"/>
                <w:szCs w:val="24"/>
              </w:rPr>
              <w:t xml:space="preserve"> (далее – ЕГРН);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26.05.2025 № РФ-59-2-03-0-00-2025-1155-0 (далее – ГПЗУ).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соответствии со сведениями из ЕГРН объекты капитального/некапитального строительства в границах Участка отсутствуют.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 xml:space="preserve">Согласно копии планшета М 1:1000 (требуется корректура) на Участке расположен объект некапитального строительства, </w:t>
            </w:r>
            <w:r>
              <w:rPr>
                <w:spacing w:val="0"/>
                <w:sz w:val="24"/>
                <w:szCs w:val="24"/>
                <w:highlight w:val="white"/>
              </w:rPr>
              <w:t>по северо-западной, северо-восточной и юго-западной границам Участка установле</w:t>
            </w:r>
            <w:r>
              <w:rPr>
                <w:spacing w:val="0"/>
                <w:sz w:val="24"/>
                <w:szCs w:val="24"/>
              </w:rPr>
              <w:t>н забор смежных земельных участков.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</w:pPr>
            <w:r>
              <w:rPr>
                <w:spacing w:val="0"/>
                <w:sz w:val="24"/>
                <w:szCs w:val="24"/>
              </w:rPr>
              <w:t xml:space="preserve">Согласно геодезической съемке, выполненной в 2025 году, по северо-западной и юго-западной границам </w:t>
            </w:r>
            <w:r>
              <w:rPr>
                <w:spacing w:val="0"/>
                <w:sz w:val="24"/>
                <w:szCs w:val="24"/>
                <w:highlight w:val="white"/>
              </w:rPr>
              <w:t>Участка установле</w:t>
            </w:r>
            <w:r>
              <w:rPr>
                <w:spacing w:val="0"/>
                <w:sz w:val="24"/>
                <w:szCs w:val="24"/>
              </w:rPr>
              <w:t>н забор смежных земельных участков.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Cs w:val="24"/>
                <w14:ligatures w14:val="none"/>
              </w:rPr>
            </w:pPr>
            <w:r>
              <w:rPr>
                <w:szCs w:val="24"/>
                <w14:ligatures w14:val="non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Доступ к Участку не ограничен, на Участке выявлена поросль деревьев и кустарников.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Ближайшими источниками противопожарного водоснабжения являются пожарные гидранты: </w:t>
              <w:br/>
              <w:t xml:space="preserve">ул. Обросова, на расстоянии 180 м, ул. Обросова, 41 </w:t>
              <w:br/>
              <w:t>на расстоянии 280 м, ул. Лифанова, 124 на расстоянии 320 м.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  </w:t>
            </w:r>
            <w:r>
              <w:rPr>
                <w:b/>
                <w:color w:themeColor="text1" w:val="000000"/>
                <w:sz w:val="24"/>
                <w:szCs w:val="24"/>
                <w:highlight w:val="white"/>
              </w:rPr>
              <w:t>администрации Мотовилихинского района города Перми</w:t>
            </w: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 от 19.05.2025 № 059-36-01-42/3-105, в акте обследования от 19.05.2025).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Согласно сведениям, содержащимся в ГПЗУ, ЕГРН </w:t>
              <w:br/>
              <w:t xml:space="preserve">и справке по градостроительным условиям от 03.07.2025 № 636728, Участок расположен в границах зоны </w:t>
              <w:br/>
              <w:t>с особыми условиями использования территории: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полностью в Приаэродромной территории аэродрома аэропорта Большое Савино, реестровый номер границы 59:32-6.553.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Проектирование и строительство вести </w:t>
              <w:br/>
              <w:t xml:space="preserve">в соответствии с постановлением Правительства Российской Федерации от 11.03.2010 № 138 </w:t>
              <w:br/>
              <w:t xml:space="preserve">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</w:t>
              <w:br/>
              <w:t>подходов –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 xml:space="preserve">На Участке произрастает 15 деревьев пород – береза 1 шт., клен 4 шт., черемуха 3 шт., рябина 5 шт., лиственница </w:t>
              <w:br/>
              <w:t>2 шт. Средняя стоимость в ценах 2025 года одного дерева лиственной породы от 25 тыс. руб., а хвойной – от 30 тыс. руб.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rFonts w:eastAsia="Times New Roman" w:cs="Times New Roman"/>
                <w:color w:themeColor="text1" w:val="000000"/>
                <w:sz w:val="24"/>
              </w:rPr>
              <w:t>Победителю аукциона необходимо соблюдать условия строительства, перечисленные в перечне мероприятий по охране окружающей среды от 15.05.2025 № 118 (прилагается).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color w:themeColor="text1"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color w:themeColor="text1" w:val="000000"/>
                <w:sz w:val="24"/>
                <w:szCs w:val="24"/>
                <w:highlight w:val="white"/>
              </w:rPr>
              <w:t>управления по экологии и природопользованию администрации города Перми</w:t>
            </w:r>
            <w:r>
              <w:rPr>
                <w:rFonts w:eastAsia="Times New Roman" w:cs="Times New Roman"/>
                <w:color w:themeColor="text1" w:val="000000"/>
                <w:sz w:val="24"/>
                <w:szCs w:val="24"/>
                <w:highlight w:val="white"/>
              </w:rPr>
              <w:t xml:space="preserve"> от 15.05.2025 № 059-33-01-10/3-249).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Бюджетом города Перми на период 2025-2029 годы мероприятия по строительству, реконструкции, капитальному ремонту улично-дорожной сети на рассматриваемой территории не предусмотрены.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283" w:left="0" w:right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</w:rPr>
              <w:t>Также направлена информация о соблюдении Правил благоустройства территории города Перми, утвержденных решением Пермской городской Думы от 15.12.2020 № 277, при строительстве объектов недвижимости на земельных участках, предоставленных на торгах.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В соответствии с Федеральным законом </w:t>
              <w:br/>
              <w:t xml:space="preserve">от 08.11.2007 № 257, расходы на строительства, реконструкцию, капитальный ремонт, ремонт пересечений и примыканий, в том числе расходы на выполнение дополнительных работ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</w:t>
              <w:br/>
              <w:t>в интересах которых осуществляется строительство, реконструкция, капитальный ремонт, ремонт пересечений или примыканий.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color w:themeColor="text1" w:val="000000"/>
                <w:sz w:val="24"/>
                <w:szCs w:val="24"/>
                <w:highlight w:val="white"/>
              </w:rPr>
              <w:t>департамента дорог и благоустройства администрации города Перми</w:t>
            </w:r>
            <w:r>
              <w:rPr>
                <w:rFonts w:eastAsia="Times New Roman" w:cs="Times New Roman"/>
                <w:color w:themeColor="text1" w:val="000000"/>
                <w:sz w:val="24"/>
                <w:szCs w:val="24"/>
                <w:highlight w:val="white"/>
              </w:rPr>
              <w:t xml:space="preserve"> от 20.05.2025 № 059-24-01-36/3-1677).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Информация о подразделениях пожарной охраны </w:t>
              <w:br/>
              <w:t>и времени их прибытия содержится в «Расписании выезда подразделений Пермского местного пожарно-спасательного гарнизона для тушения пожаров и проведения аварийно-спасательных работ на территории Пермского городского округа, Пермского муниципального района», утвержденном Главой города Перми 26.04.2024.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Ближайшее подразделение пожарной охраны расположено по адресу: город Пермь, ул. Уральская, 74 (ПСЧ-3 10- ПСО).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Помещения для аварийно-спасательных служб и (или) аварийно-спасательных формирований на указанной территории отсутствуют.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При планировке и размещении объектов </w:t>
              <w:br/>
              <w:t xml:space="preserve">на вышеуказанной территории необходимо соблюдать нормы и требования действующего законодательства: федеральных законов от 21 декабря 1994 г. N 69-ФЗ </w:t>
              <w:br/>
              <w:t xml:space="preserve">«О пожарной безопасности» и от 22 июля 2008 г. </w:t>
              <w:br/>
              <w:t>N 123-ФЗ «Технический регламент о требованиях пожарной безопасности», Свода правил 8.13130. «Системы противопожарной защиты.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Источники наружного противопожарного водоснабжения. Требования пожарной безопасности», утвержденных приказом МЧС России от 30.03.2020 N 225, Свода правил 4.13130 «Системы противопожарной защиты.</w:t>
            </w:r>
          </w:p>
          <w:p>
            <w:pPr>
              <w:pStyle w:val="Normal"/>
              <w:spacing w:lineRule="auto" w:line="240" w:before="0" w:after="0"/>
              <w:ind w:firstLine="283" w:left="0" w:right="33"/>
              <w:jc w:val="both"/>
              <w:rPr/>
            </w:pPr>
            <w:r>
              <w:rPr>
                <w:rFonts w:cs="Times New Roman"/>
                <w:sz w:val="24"/>
                <w:szCs w:val="24"/>
                <w:highlight w:val="white"/>
              </w:rPr>
              <w:t>Ограничение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highlight w:val="white"/>
              </w:rPr>
              <w:t>распространения пожара на объектах защиты. Требования к объемно-планировочным и конструктивным решениям», утвержденных Приказом МЧС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highlight w:val="white"/>
              </w:rPr>
              <w:t>России от 24.04.2013 N 288 и иной документации, касающейся норм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highlight w:val="white"/>
              </w:rPr>
              <w:t>противопожарной безопасности.</w:t>
            </w:r>
          </w:p>
          <w:p>
            <w:pPr>
              <w:pStyle w:val="Normal"/>
              <w:spacing w:lineRule="auto" w:line="240" w:before="0" w:after="0"/>
              <w:ind w:firstLine="283" w:left="0" w:right="33"/>
              <w:jc w:val="both"/>
              <w:rPr/>
            </w:pPr>
            <w:r>
              <w:rPr>
                <w:rFonts w:cs="Times New Roman"/>
                <w:sz w:val="24"/>
                <w:szCs w:val="24"/>
                <w:highlight w:val="white"/>
              </w:rPr>
              <w:t>Объекты общественной безопасности, отнесенные к объектам полиции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highlight w:val="white"/>
              </w:rPr>
              <w:t>(участковые пункты полиции) в данном микрорайоне расположены по адресу: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highlight w:val="white"/>
              </w:rPr>
              <w:t>город Пермь, ул. Ким, 5 (микрорайон Рабочий Поселок, Мотовилихинский район).</w:t>
            </w:r>
          </w:p>
          <w:p>
            <w:pPr>
              <w:pStyle w:val="Normal"/>
              <w:spacing w:lineRule="auto" w:line="240" w:before="0" w:after="0"/>
              <w:ind w:firstLine="283" w:left="0" w:right="33"/>
              <w:jc w:val="both"/>
              <w:rPr/>
            </w:pPr>
            <w:r>
              <w:rPr>
                <w:rFonts w:cs="Times New Roman"/>
                <w:sz w:val="24"/>
                <w:szCs w:val="24"/>
                <w:highlight w:val="white"/>
              </w:rPr>
              <w:t>В настоящее время в указанном микрорайоне, строительство (приобретение)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highlight w:val="white"/>
              </w:rPr>
              <w:t>участковых пунктов полиции не планируется.</w:t>
            </w:r>
          </w:p>
          <w:p>
            <w:pPr>
              <w:pStyle w:val="Normal"/>
              <w:spacing w:lineRule="auto" w:line="240" w:before="0" w:after="0"/>
              <w:ind w:firstLine="283" w:left="0" w:right="33"/>
              <w:jc w:val="both"/>
              <w:rPr/>
            </w:pPr>
            <w:r>
              <w:rPr>
                <w:rFonts w:cs="Times New Roman"/>
                <w:sz w:val="24"/>
                <w:szCs w:val="24"/>
                <w:highlight w:val="white"/>
              </w:rPr>
              <w:t>В соответствии с информацией, предоставленной Министерством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highlight w:val="white"/>
              </w:rPr>
              <w:t>территориальной безопасности Пермского края (письмо от 07.10.2020 N 964-с),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highlight w:val="white"/>
              </w:rPr>
              <w:t>данная территория попадает в зону возможного химического заражения в особый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highlight w:val="white"/>
              </w:rPr>
              <w:t>период.</w:t>
            </w:r>
          </w:p>
          <w:p>
            <w:pPr>
              <w:pStyle w:val="Normal"/>
              <w:spacing w:lineRule="auto" w:line="240" w:before="0" w:after="0"/>
              <w:ind w:firstLine="283" w:left="0" w:right="33"/>
              <w:jc w:val="both"/>
              <w:rPr/>
            </w:pPr>
            <w:r>
              <w:rPr>
                <w:rFonts w:cs="Times New Roman"/>
                <w:highlight w:val="white"/>
              </w:rPr>
              <w:t>Территория находится в зоне действия региональной системы оповещения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highlight w:val="white"/>
              </w:rPr>
              <w:t>населения города Перми, установленной по адресу: ул. Каспийская, 15 – 500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highlight w:val="white"/>
              </w:rPr>
              <w:t>метров.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rFonts w:cs="Times New Roman"/>
                <w:color w:themeColor="text1"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rFonts w:cs="Times New Roman"/>
                <w:b/>
                <w:color w:themeColor="text1" w:val="000000"/>
                <w:sz w:val="24"/>
                <w:szCs w:val="24"/>
                <w:highlight w:val="white"/>
              </w:rPr>
              <w:t>департамента общественной безопасности администрации города Перми</w:t>
            </w:r>
            <w:r>
              <w:rPr>
                <w:rFonts w:cs="Times New Roman"/>
                <w:color w:themeColor="text1" w:val="000000"/>
                <w:sz w:val="24"/>
                <w:szCs w:val="24"/>
                <w:highlight w:val="white"/>
              </w:rPr>
              <w:t xml:space="preserve"> от 13.05.2025 №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059-10-01-27/3-1030).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</w:tc>
      </w:tr>
      <w:tr>
        <w:trPr>
          <w:trHeight w:val="108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4"/>
              </w:numPr>
              <w:spacing w:before="0" w:after="0"/>
              <w:ind w:hanging="283" w:left="51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и (или) минимально допустимые параметры разрешенного строительства</w:t>
              <w:br/>
              <w:t>объекта капитального строительства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Cs w:val="24"/>
              </w:rPr>
              <w:t xml:space="preserve">В </w:t>
            </w:r>
            <w:r>
              <w:rPr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Cs w:val="24"/>
                <w:lang w:val="en-US"/>
              </w:rPr>
              <w:t>www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torgi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gov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</w:t>
            </w:r>
            <w:r>
              <w:rPr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5" w:tgtFrame="http://www.gorodperm.ru/">
              <w:r>
                <w:rPr>
                  <w:rStyle w:val="Hyperlink"/>
                  <w:szCs w:val="24"/>
                </w:rPr>
                <w:t>www.gorodperm.ru</w:t>
              </w:r>
            </w:hyperlink>
            <w:r>
              <w:rPr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Проектирование и строительство необходимо вести </w:t>
              <w:br/>
              <w:t xml:space="preserve">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</w:t>
              <w:br/>
              <w:t xml:space="preserve">от 20.10.2016 № 725/пр. Дом должен включать жилые комнаты – одну или несколько (общую комнату </w:t>
              <w:br/>
              <w:t>или гостиную, спальню),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</w:t>
            </w:r>
            <w:r>
              <w:rPr>
                <w:sz w:val="24"/>
                <w:szCs w:val="24"/>
              </w:rPr>
              <w:t>, переднюю.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Согласно пункту 6.1 СП 55.13330.2016 площади помещений строящихся и реконструируемых жилых домов должны быть не менее: общей комнаты в однокомнатном доме - 14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, общей комнаты в доме с числом комнат две и более - 16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, спальни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(на двух человек - 10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); кухни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; кухонной зоны </w:t>
              <w:br/>
              <w:t>в кухне-столовой - 6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В домах с одной комнатой допускается проектировать кухни или кухни-ниши площадью не менее 5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Площадь спальни и кухни в мансардном этаже (или этаже с наклонными ограждающими конструкциями) допускается не менее 7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при условии, что общая жилая комната имеет площадь не менее 16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Согласно пункту 6.2 СП 55.13330.2016 высота </w:t>
              <w:br/>
              <w:t xml:space="preserve">(от пола до потолка) комнат и кухни (кухни-столовой) </w:t>
              <w:br/>
              <w:t xml:space="preserve">в климатических районах строительства IА, IБ, IГ, IД, определяемых по СП 131.13330, должна быть не менее 2,7 м, а в других климатических районах строительства - не менее 2,5 м. Высота внутридомовых коридоров, холлов, передних, </w:t>
            </w:r>
            <w:r>
              <w:rPr>
                <w:spacing w:val="-2"/>
                <w:sz w:val="24"/>
                <w:szCs w:val="24"/>
                <w:lang w:val="en-US"/>
              </w:rPr>
              <w:t>антресолей должна составлять не менее 2,1 м,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а высота пути эвакуации -</w:t>
            </w:r>
            <w:r>
              <w:rPr>
                <w:sz w:val="24"/>
                <w:szCs w:val="24"/>
                <w:lang w:val="en-US"/>
              </w:rPr>
              <w:t xml:space="preserve"> не менее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2,2 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В жилых комнатах и кухнях, расположенных </w:t>
              <w:br/>
              <w:t>в этажах с наклонными ограждающими конструкциями или в мансардном этаже, допускается уменьшение высоты помещений (от пола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до потолка), относительно нормируемой на площади, не превышающей 50%.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Согласно информации, содержащейся </w:t>
              <w:br/>
              <w:t xml:space="preserve">в градостроительном плане земельного участка </w:t>
              <w:br/>
              <w:t>от 26.05.2025 № РФ-59-2-03-0-00-2025-1155-0 (далее – ГПЗУ), предельная высота зданий, строений не более 10,5 м (документация по планировке территории, утвержденная постановлением администрации города Перми от 23.12.2015 № 1102).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Минимальный отступ от границ земельного участка до места допустимого размещения зданий, строений, сооружений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Максимальный процент застройки в границах Участка – 30%.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ind w:hanging="284" w:left="410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/>
              <w:t xml:space="preserve">В </w:t>
            </w:r>
            <w:r>
              <w:rPr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lang w:val="en-US"/>
              </w:rPr>
              <w:t>www</w:t>
            </w:r>
            <w:r>
              <w:rPr/>
              <w:t>.</w:t>
            </w:r>
            <w:r>
              <w:rPr>
                <w:lang w:val="en-US"/>
              </w:rPr>
              <w:t>torgi</w:t>
            </w:r>
            <w:r>
              <w:rPr/>
              <w:t>.</w:t>
            </w:r>
            <w:r>
              <w:rPr>
                <w:lang w:val="en-US"/>
              </w:rPr>
              <w:t>gov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6" w:tgtFrame="http://www.gorodperm.ru/">
              <w:r>
                <w:rPr>
                  <w:rStyle w:val="Hyperlink"/>
                </w:rPr>
                <w:t>www.gorodperm.ru</w:t>
              </w:r>
            </w:hyperlink>
            <w:r>
              <w:rPr/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 возможности подключения (технологического присоединения) к сетям электроснабжения объекта капитального строительства присоединяемой мощностью 15 кВт сообщается следующее.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highlight w:val="white"/>
              </w:rPr>
              <w:t xml:space="preserve">Порядок технологического присоединения </w:t>
              <w:br/>
              <w:t>к электрическим сетям регламентирован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Российской Федерации от 27.12.2004 № 861 (далее-Правила ТП).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>Для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получения технических условий и заключения договора на технологическое присоединение необходимо направить в адрес филиала </w:t>
            </w:r>
            <w:r>
              <w:rPr>
                <w:color w:val="131313"/>
                <w:sz w:val="24"/>
                <w:szCs w:val="24"/>
              </w:rPr>
              <w:t xml:space="preserve">ПAO </w:t>
            </w:r>
            <w:r>
              <w:rPr>
                <w:color w:val="1A1A1A"/>
                <w:sz w:val="24"/>
                <w:szCs w:val="24"/>
              </w:rPr>
              <w:t xml:space="preserve">«Россети </w:t>
            </w:r>
            <w:r>
              <w:rPr>
                <w:sz w:val="24"/>
                <w:szCs w:val="24"/>
              </w:rPr>
              <w:t xml:space="preserve">Урал» - «Пермэнерго» соответствующую заявку на технологическое присоединение с указанием сведений и приложением необходимых документов </w:t>
              <w:br/>
            </w:r>
            <w:r>
              <w:rPr>
                <w:color w:val="0F0F0F"/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соответствии с Правилами TП.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sz w:val="24"/>
                <w:szCs w:val="24"/>
              </w:rPr>
              <w:t>Заявку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технологическое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присоединение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можно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подать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через единый</w:t>
            </w:r>
            <w:r>
              <w:rPr>
                <w:spacing w:val="6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федеральный</w:t>
            </w:r>
            <w:r>
              <w:rPr>
                <w:spacing w:val="7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портал электросетевых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группы компаний «Россети» – ПОРТАЛ-ТП.РФ</w:t>
            </w:r>
            <w:r>
              <w:rPr>
                <w:sz w:val="24"/>
                <w:highlight w:val="white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themeColor="text1" w:val="000000"/>
                <w:sz w:val="24"/>
                <w:szCs w:val="24"/>
                <w:highlight w:val="white"/>
              </w:rPr>
              <w:t xml:space="preserve">Филиала ПАО «Россети Урал» - «Пермэнерго» </w:t>
            </w:r>
            <w:r>
              <w:rPr>
                <w:color w:themeColor="text1" w:val="000000"/>
                <w:sz w:val="24"/>
                <w:szCs w:val="24"/>
                <w:highlight w:val="white"/>
              </w:rPr>
              <w:t>от 21.05.2025 № ПЭ/ПГЭС/01/01/5911).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Техническая возможность подключения объекта капитального строительства с предполагаемой максимальной нагрузкой (часовым расходом газа) 8м</w:t>
            </w:r>
            <w:r>
              <w:rPr>
                <w:sz w:val="24"/>
                <w:szCs w:val="24"/>
                <w:highlight w:val="white"/>
                <w:vertAlign w:val="superscript"/>
              </w:rPr>
              <w:t>3</w:t>
            </w:r>
            <w:r>
              <w:rPr>
                <w:sz w:val="24"/>
                <w:szCs w:val="24"/>
                <w:highlight w:val="white"/>
              </w:rPr>
              <w:t>/час к существующим сетям газораспределения имеется.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Для рассмотрения вопроса о предоставлении технических условий на подключение (технологическое присоединение) необходимо направить заявку с приложением необходимых документов в соответствии с постановлением Правительства Российской Федерации от 13.09.2021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 силу некоторых актов Правительства Российской Федерации» на электронную почту post@pf.ugaz.ru, либо почтовым отправлением по адресу: г. Пермь, </w:t>
              <w:br/>
              <w:t xml:space="preserve">ул. Уральская, 104, через Единый центр предоставления услуг по адресу: г. Пермь, ул. Уральская, д. 104, </w:t>
              <w:br/>
              <w:t>каб. 101.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b/>
                <w:color w:themeColor="text1" w:val="000000"/>
                <w:sz w:val="24"/>
                <w:szCs w:val="24"/>
                <w:highlight w:val="white"/>
              </w:rPr>
              <w:t>АО «Газпром газораспределение Пермь»</w:t>
            </w: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 от 30.05.2025 № ПФ-3672).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Ближайшей сетью водоснабжения, эксплуатируемой </w:t>
              <w:br/>
              <w:t xml:space="preserve">ООО «НОВОГОР-Прикамье», является водопровод, </w:t>
              <w:br/>
              <w:t xml:space="preserve">Д-40 мм, по ул. Карякина, расстояние от Участка - </w:t>
              <w:br/>
              <w:t>60 п.м. Ввиду отсутствия данных о посадке объекта, протяженность до водовода Д-40 мм по ул. Карякина указана ориентировочно.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В связи с тем, что в месте расположения Участка отсутствуют централизованные сети канализации. Может быть применен </w:t>
            </w:r>
            <w:r>
              <w:rPr>
                <w:sz w:val="24"/>
                <w:szCs w:val="24"/>
                <w:highlight w:val="white"/>
              </w:rPr>
              <w:t>альтернативный способ канализования, без подключения к централизованной системе канализации г. Перми (отвод стоков на локальные очистные сооружения, канализование объекта в выгребную яму с последующим вывозом стоков спец. машинами) который должен соответствовать всем нормативным требованиям Российской Федерации.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Для сведения сообщается, что в границах Участка отсутствуют централизованные сети водопровода </w:t>
              <w:br/>
              <w:t>и канализации, эксплуатируемые ООО «НОВОГОР-Прикамье»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themeColor="text1" w:val="000000"/>
                <w:sz w:val="24"/>
                <w:szCs w:val="24"/>
                <w:highlight w:val="white"/>
              </w:rPr>
              <w:t>ООО «НОВО</w:t>
            </w:r>
            <w:bookmarkStart w:id="1" w:name="undefined_Копия_1_Копия_1"/>
            <w:bookmarkEnd w:id="1"/>
            <w:r>
              <w:rPr>
                <w:b/>
                <w:color w:themeColor="text1" w:val="000000"/>
                <w:sz w:val="24"/>
                <w:szCs w:val="24"/>
                <w:highlight w:val="white"/>
              </w:rPr>
              <w:t xml:space="preserve">ГОР-Прикамье» </w:t>
            </w:r>
            <w:r>
              <w:rPr>
                <w:color w:themeColor="text1" w:val="000000"/>
                <w:sz w:val="24"/>
                <w:szCs w:val="24"/>
                <w:highlight w:val="white"/>
              </w:rPr>
              <w:t>от 14.05.2025 № 110-6510).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Участок расположен вне зоны теплоснабжения ПАО </w:t>
              <w:br/>
              <w:t>«Т Плюс».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themeColor="text1" w:val="000000"/>
                <w:sz w:val="24"/>
                <w:szCs w:val="24"/>
                <w:highlight w:val="white"/>
              </w:rPr>
              <w:t>Филиала «Пермский ПАО «Т Плюс»</w:t>
            </w: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 от 13.05.2025 № 51000-32-01614).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Техническая возможность подключения к сетям теплоснабжения отсутствует.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качестве альтернативного энергоресурса рекомендуем рассмотреть газ и обратиться в Пермский филиал АО «Газпром газораспределение Пермь», либо рассмотреть иные альтернативные энергоресурсы (электричество, дрова, пеллеты).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4"/>
                <w:highlight w:val="white"/>
              </w:rPr>
              <w:t>департамента жилищно-коммунального хозяйства администрации города Перми</w:t>
            </w: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 от 02.06.2025 № 059-04-25/3-77-ри).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Техническое присоединение планируемых к строительству объектов в границах Участка может быть произведено в точке подключения – узел ВОЛС (г. Пермь, ул. Лебедева, д. 9а). Максимальную нагрузку в точке подключения (технологического присоединения) определить </w:t>
              <w:br/>
              <w:t>на стадии проектирования. В границах Участка сети ПАО «Ростелеком» отсутствуют.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Для подключения (технологического присоединения) вышеуказанных объектов к сетям электросвязи ПАО «Ростелеком»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порядке, определенном действующим законодательством.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>ПАО «Ростелеком»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 13.05.2025 № 01/05/70883/25).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pacing w:val="-6"/>
                <w:sz w:val="24"/>
                <w:szCs w:val="24"/>
                <w:highlight w:val="white"/>
              </w:rPr>
              <w:t>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на период до 2028 года предусмотрено строительство сетей водоснабжения и водоотведения в мкр. Костарево.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themeColor="text1" w:val="000000"/>
                <w:spacing w:val="-6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24"/>
                <w:szCs w:val="24"/>
                <w:highlight w:val="white"/>
              </w:rPr>
              <w:t>д</w:t>
            </w:r>
            <w:r>
              <w:rPr>
                <w:rFonts w:eastAsia="Times New Roman" w:cs="Times New Roman"/>
                <w:b/>
                <w:bCs w:val="false"/>
                <w:color w:val="000000"/>
                <w:spacing w:val="-6"/>
                <w:sz w:val="24"/>
                <w:szCs w:val="24"/>
                <w:highlight w:val="white"/>
              </w:rPr>
              <w:t xml:space="preserve">епартамента жилищно-коммунального хозяйства администрации города Перми 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spacing w:val="-6"/>
                <w:sz w:val="24"/>
                <w:szCs w:val="24"/>
                <w:highlight w:val="white"/>
              </w:rPr>
              <w:t xml:space="preserve"> от 19.05.2025 № 059-04-17/3-409-ри).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(размер ежегодной арендной платы)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right="0"/>
              <w:rPr/>
            </w:pPr>
            <w:r>
              <w:rPr>
                <w:b w:val="false"/>
                <w:bCs w:val="false"/>
                <w:sz w:val="24"/>
                <w:szCs w:val="24"/>
              </w:rPr>
              <w:t xml:space="preserve">По условиям пункта 4.3 проекта договора аренды земельного участка, приобретаемого на торгах в форме аукциона, для строительства (Приложение 4 к настоящему извещению), победитель аукциона, иное лицо, с которым договор заключается в соответствии с п.13, п.14, п. 20 или п. 25  ст. 39.12 Земельного Кодекса Российской Федерации (далее – ЗК РФ), обязан до подписания договора уплатить ежегодный размер арендной платы, указанный в п. 4.2 договора </w:t>
              <w:br/>
              <w:t xml:space="preserve">(за вычетом задатка, внесенного для участия </w:t>
              <w:br/>
              <w:t xml:space="preserve">в аукционе) </w:t>
            </w:r>
            <w:r>
              <w:rPr>
                <w:b/>
                <w:bCs/>
                <w:sz w:val="24"/>
                <w:szCs w:val="24"/>
              </w:rPr>
              <w:t xml:space="preserve">за 1 год </w:t>
            </w:r>
            <w:r>
              <w:rPr>
                <w:b w:val="false"/>
                <w:bCs w:val="false"/>
                <w:sz w:val="24"/>
                <w:szCs w:val="24"/>
              </w:rPr>
              <w:t xml:space="preserve">на счет департамента земельных отношений администрации города Перми, 614015, </w:t>
              <w:br/>
              <w:t xml:space="preserve">ул. Сибирская,15, </w:t>
              <w:br/>
              <w:t xml:space="preserve">тел. 212-61-90 (отдел договоров), </w:t>
            </w: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>реквизиты которого указаны в проекте договора аренды земельного участка (Приложение 4 к настоящему извещению)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260 000 руб.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13 000 руб.</w:t>
            </w:r>
          </w:p>
        </w:tc>
      </w:tr>
      <w:tr>
        <w:trPr>
          <w:trHeight w:val="41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17" w:tgtFrame="http://www.torgi.gov.ru/">
              <w:r>
                <w:rPr>
                  <w:rStyle w:val="Hyperlink"/>
                  <w:sz w:val="24"/>
                  <w:szCs w:val="24"/>
                  <w:lang w:val="en-US"/>
                </w:rPr>
                <w:t>www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torgi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gov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  <w:szCs w:val="24"/>
              </w:rPr>
              <w:t>, www.gorodperm.ru (раздел Деятельность/Муниципальная собственность/Торговая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jc w:val="both"/>
              <w:rPr>
                <w:b/>
                <w:bCs/>
                <w:color w:val="000000"/>
                <w:sz w:val="24"/>
                <w:szCs w:val="24"/>
                <w:shd w:fill="auto" w:val="clear"/>
                <w14:ligatures w14:val="none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  <w:t xml:space="preserve">Решение о проведении аукциона принято </w:t>
              <w:br/>
              <w:t xml:space="preserve">в соответствии со статьей 39.18 Земельного кодекса Российской Федерации, </w:t>
            </w: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130 000 руб.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аренды земельного участка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лет</w:t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z w:val="24"/>
                <w:szCs w:val="24"/>
                <w:shd w:fill="auto" w:val="clear"/>
                <w:lang w:val="en-US" w:eastAsia="en-US"/>
              </w:rPr>
              <w:t>сайтах www.torgi.gov.ru, www.gorodperm.ru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14.02.2025</w:t>
            </w:r>
          </w:p>
        </w:tc>
      </w:tr>
      <w:tr>
        <w:trPr>
          <w:trHeight w:val="188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является Приложением 4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gorodperm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участков).</w:t>
            </w:r>
          </w:p>
        </w:tc>
      </w:tr>
      <w:tr>
        <w:trPr>
          <w:trHeight w:val="14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rFonts w:eastAsia="Courier New"/>
          <w:b/>
          <w:bCs/>
          <w:highlight w:val="none"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rFonts w:eastAsia="Courier New"/>
          <w:b/>
          <w:bCs/>
          <w:highlight w:val="none"/>
          <w:lang w:bidi="ru-RU"/>
        </w:rPr>
      </w:pPr>
      <w:r>
        <w:rPr>
          <w:rFonts w:eastAsia="Courier New"/>
          <w:b/>
          <w:bCs/>
          <w:lang w:bidi="ru-RU"/>
        </w:rPr>
        <w:t>Лот № 4</w:t>
      </w:r>
    </w:p>
    <w:tbl>
      <w:tblPr>
        <w:tblW w:w="10485" w:type="dxa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67"/>
        <w:gridCol w:w="3054"/>
        <w:gridCol w:w="6864"/>
      </w:tblGrid>
      <w:tr>
        <w:trPr>
          <w:trHeight w:val="87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указанного решения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Перми, распоряжение начальника департамента земельных отношений администрации город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 xml:space="preserve">а Перми </w:t>
            </w:r>
            <w:r>
              <w:rPr>
                <w:rFonts w:eastAsia="Droid Sans Fallback" w:cs="Lohit Devanagari"/>
                <w:color w:val="auto"/>
                <w:sz w:val="24"/>
                <w:szCs w:val="28"/>
                <w:lang w:val="ru-RU" w:eastAsia="zh-CN" w:bidi="ar-SA"/>
              </w:rPr>
              <w:t>от 16 апреля 2025 г. № 21-01-03-3359  «О проведении аукциона на право заключения договора аренды земельного участка в Индустриальном районе города Перми»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на право заключения договора аренды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ind w:hanging="277" w:left="419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256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улица Промышленная, з/у 94ж</w:t>
            </w:r>
          </w:p>
        </w:tc>
      </w:tr>
      <w:tr>
        <w:trPr>
          <w:trHeight w:val="14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площадь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 кв. м</w:t>
            </w:r>
          </w:p>
        </w:tc>
      </w:tr>
      <w:tr>
        <w:trPr>
          <w:trHeight w:val="15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кадастровый номер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59:01:0000000:46568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ind w:hanging="284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ind w:hanging="277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разрешенное использование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складские площадки</w:t>
            </w:r>
          </w:p>
        </w:tc>
      </w:tr>
      <w:tr>
        <w:trPr>
          <w:trHeight w:val="57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ind w:hanging="284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  <w:p>
            <w:pPr>
              <w:pStyle w:val="Normal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 03.07.2025г.                   № КУВИ-001/2025-133522025 (далее – ЕГРН);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сведениям, содержащимся в Едином государственном реестре недвижимости (далее – ЕГРН), Участок не имеет связь с объектами капитального строительства.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копии планшета М 1:500, требующего корректуры, Участок вдоль северной границы граничит с железобетонным ограждением и объектом капитального строительства смежного землепользователя.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sz w:val="24"/>
              </w:rPr>
              <w:t xml:space="preserve">В ходе визуального осмотра территории установлено, что доступ на территорию ограничен, на территории Участка скопление мусора, размещены еврокубы для транспортировки жидкости, </w:t>
            </w:r>
            <w:r>
              <w:rPr>
                <w:sz w:val="24"/>
                <w:lang w:val="en-US"/>
              </w:rPr>
              <w:t>ISO</w:t>
            </w:r>
            <w:r>
              <w:rPr>
                <w:sz w:val="24"/>
              </w:rPr>
              <w:t>-контейнеры (2 шт.), выявлено самовольное эксплуатирование Участка.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Администрация района не располагает информацией </w:t>
              <w:br/>
              <w:t xml:space="preserve">об источниках противопожарного водоснабжения </w:t>
              <w:br/>
              <w:t>с пожарными гидрантами вблизи указанного земельного участка, ввиду отсутствия сетей централизованного водоснабжения на территории района.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Cs w:val="24"/>
              </w:rPr>
              <w:t xml:space="preserve">(Аналогичная информация отражена в письме  </w:t>
            </w:r>
            <w:r>
              <w:rPr>
                <w:color w:themeColor="text1" w:val="000000"/>
                <w:sz w:val="24"/>
                <w:szCs w:val="24"/>
              </w:rPr>
              <w:t>а</w:t>
            </w:r>
            <w:r>
              <w:rPr>
                <w:b/>
                <w:color w:themeColor="text1" w:val="000000"/>
                <w:sz w:val="24"/>
                <w:szCs w:val="24"/>
              </w:rPr>
              <w:t xml:space="preserve">дминистрации Индустриального района города Перми </w:t>
            </w:r>
            <w:r>
              <w:rPr>
                <w:color w:themeColor="text1" w:val="000000"/>
                <w:sz w:val="24"/>
                <w:szCs w:val="24"/>
              </w:rPr>
              <w:t>от 16.04.2025 № 059-16-01-07/3-705, в акте обследования территории от 09.04.2025 № 17).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сведениям, содержащимся в ЕГРН, справке </w:t>
              <w:br/>
              <w:t xml:space="preserve">по градостроительным условиям земельного участка </w:t>
              <w:br/>
              <w:t>от 03.07.2025 № 636729 Участок расположен в границах зон с особыми условиями использования территории: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границах зоны с особыми условиями использования территории Охранная зона транспорта «Зона с особыми условиями использования - Приаэродромная территория аэродрома аэропорта Большое Савино», 59:32-6.553 (Постановление Правительства Российской Федерации от 11.03.2010 </w:t>
              <w:br/>
              <w:t>№ 138 «Об утверждении Федеральных правил использования воздушного пространства Российской Федерации»);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границах зоны с особыми условиями использования территории Санитарно-защитная зона предприятий, сооружений и иных объектов ПАО «Первая Грузовая Компания», 59:01-6.9445, (Решение главного государственного санитарного врача по Пермскому краю «Об установлении санитарно-защитной зоны для промышленной площадки промывочно-пропарочной станции Екатеринбургского филиала Публичного акционерного общества «Первая Грузовая Компания» по адресу: г. Пермь, промзона «Осенцы», ул. Промышленная, 153 №107 от 29.07.2022);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границах зоны с особыми условиями использования территории Санитарно-защитная зона предприятий, сооружений и иных объектов «Санитарно-защитная зона для ООО «ЛУКОЙЛ- Пермнефтеоргсинтез» с учетом строительства блока гликолевой осушки и строительства эстакады тактового налива светлых нефтепродуктов», 59:00-6.1604 (Решение Федеральной службы по надзору в сфере зашиты прав потребителей и благополучия человека от 06.07.2020 № 126-PC33 «Об установлении санитарно- защитной зоны для промышленной площадки ООО «ЛУКОЙЛ-Пермнефтеоргсинтез» с учетом строительства блока гликолевой осушки и строительства эстакады тактового налива светлых нефтепродуктов, расположенного по адресу: Пермский край, г. Пермь, ул. Промышленная, д. 84»);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границах зоны с особыми условиями использования территории Санитарно-защитная зона предприятий, сооружений и иных объектов «Единая санитарно-защитная зона промузла «Осенцы», 59:00-6.30 (Постановление администрации города Перми от 20.06.2007 № 227 «Об утверждении проекта границ общей санитарно-защитной зоны промышленного узла «Осенцы» в Индустриальном районе»).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Ограничение в использовании объектов недвижимости в границах Единой санитарно-защитной зоны промузла «Осенцы» в соответствии с СанПиН 2.2.1-2.1.1.1200-03 (утверждены Главным государственным санитарным врачом Российской Федерации Г.Г. Онищенко 15.06.2003), согласно которому </w:t>
            </w:r>
            <w:r>
              <w:rPr>
                <w:b/>
                <w:sz w:val="24"/>
                <w:szCs w:val="24"/>
              </w:rPr>
              <w:t>не допускается</w:t>
            </w:r>
            <w:r>
              <w:rPr>
                <w:sz w:val="24"/>
                <w:szCs w:val="24"/>
              </w:rPr>
              <w:t xml:space="preserve"> в санитарно-защитной зоне </w:t>
              <w:br/>
              <w:t>и на территории объектов других отраслей промышленности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в границах зоны с особыми условиями использования территории Охранная зона трубопроводов (газопроводов, нефтепроводов и нефтепродуктопроводов, аммиакопроводов) «Охранная зона МН «Каменный Лог-Пермь» (0 - 67,7 км), МН «Северокамск-Пермь» (0-66.3 км), МН «Пермь-ПНОС» (d=530 мм, участок 0-24 км)», 59:01-6.3397, площадь земельного участка, покрываемая зоной с особыми условиями использования территории, составляет 2 кв. м.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Бюджетом города Перми на период 2025-2029 годы мероприятия по строительству, реконструкции, капитальному ремонту улично-дорожной сети на рассматриваемой территории не предусмотрены.</w:t>
            </w:r>
          </w:p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примыкания Участка к улично-дорожной сети города Перми необходимо выполнить условия, указанные в настоящем письме.</w:t>
            </w:r>
          </w:p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Дополнительно направляется информация </w:t>
              <w:br/>
              <w:t>о необходимости соблюдения Правил благоустройства территории города Перми, утвержденных решением Пермской городской Думы от 15.12.2020 № 277:</w:t>
            </w:r>
          </w:p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поверхностный водоотвод решить проектом без подтопления смежных территорий, в соответствии с действующими нормативно-правовыми актами и природоохранным законодательством;</w:t>
            </w:r>
          </w:p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предусмотреть электроосвещение территории объекта;</w:t>
            </w:r>
          </w:p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стоянку для временного хранения транспорта разместить в границах отведенного под строительство земельного участка вне территории общего пользования;</w:t>
            </w:r>
          </w:p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предусмотреть устройство подъезда к Участку или ликвидацию разрушений, повреждений дорожного покрытия существующего проезда от границ Участка до существующей улично-дорожной сети, а так же наружное освещение подъезда.</w:t>
            </w:r>
          </w:p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В соответствии с Федеральным законом от 08.11.2007 </w:t>
              <w:br/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расходы на строительство, реконструкцию, капитальный ремонт, ремонт пересечений и примыканий, в том числе расходы на выполнение дополнительных работ,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осуществляются строительство, реконструкция, капитальный ремонт, ремонт пересечений или примыканий.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pacing w:val="-6"/>
                <w:sz w:val="24"/>
                <w:szCs w:val="24"/>
              </w:rPr>
              <w:t>департамента дорог и благоустройства администрации города Перми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от 09.04.2025 № 059-24-01-36/3-1192).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Ближайшие источники противопожарного водоснабжения (пожарные гидранты) расположены на территории АОЗТ «СЗМН» (9 ед.).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Информация о подразделениях пожарной охраны </w:t>
              <w:br/>
              <w:t>и времени их прибытия содержится в «Расписании выезда подразделений Пермского местного пожарно-спасательного гарнизона для тушения пожаров и проведения аварийно-спасательных работ на территории Пермского городского округа, Пермского муниципального района», утвержденном Главой города Перми 26.04.2024. Ближайшее подразделение пожарной охраны расположено по адресу: г. Пермь, ул. Беляева, 29 (ПСЧ-2 10-ПСО).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Помещения для аварийно-спасательных служб и (или) аварийно-спасательных формирований на указанной территории отсутствуют.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Объекты общественной безопасности, отнесенные к объектам полиции (участковые пункты полиции), в данном микрорайоне отсутствуют. Ближайший участковый пункт расположен по адресу: г. Пермь, ул. Экскаваторная, 57 (микрорайон Верхние Муллы, Индустриальный район). В настоящее время в указанном микрорайоне строительство (приобретение) участковых пунктов полиции не планируется.</w:t>
            </w:r>
          </w:p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По информации, предоставленной Министерством территориальной безопасности Пермского края (письмо </w:t>
              <w:br/>
              <w:t>от 07.10.2020 № 964с), рассматриваемый земельный участок попадает в зону возможного химического заражения в особый период.</w:t>
            </w:r>
          </w:p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11"/>
                <w:sz w:val="24"/>
                <w:szCs w:val="24"/>
              </w:rPr>
              <w:t>На указанной территории оконечные устройства системы оповещения населения города Перми отсутствуют. Для обеспечения покрытия запланированной территории системой оповещения населения необходимо предусматривать размещение сиренно-речевых узлов согласно пунктам 6.38, 6.39 СП 165.1325800.2014 «Свод правил. Инженерно-технические мероприятия по гражданской обороне. Актуализированная редакция СНиП 2.01.51-90».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pacing w:val="-6"/>
                <w:sz w:val="24"/>
                <w:szCs w:val="24"/>
              </w:rPr>
              <w:t>департамента общественной безопасности администрации города Перми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от 08.04.2025   № 059-10-01-27/3-816).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Зеленые насаждения на Участке отсутствуют. Необходимо использовать Участок в соответствии с перечнем мероприятий по охране окружающей среды № 86 от 17.04.2025 (прилагается).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pacing w:val="-6"/>
                <w:sz w:val="24"/>
                <w:szCs w:val="24"/>
              </w:rPr>
              <w:t xml:space="preserve">управления по экологии и природопользования администрации города Перми </w:t>
              <w:br/>
            </w:r>
            <w:r>
              <w:rPr>
                <w:color w:val="000000"/>
                <w:spacing w:val="-6"/>
                <w:sz w:val="24"/>
                <w:szCs w:val="24"/>
              </w:rPr>
              <w:t>от 17.04.2025 № 059-33-01-10/3-208).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pacing w:val="-6"/>
                <w:sz w:val="24"/>
                <w:szCs w:val="24"/>
              </w:rPr>
              <w:t xml:space="preserve">Согласно </w:t>
            </w:r>
            <w:r>
              <w:rPr>
                <w:rFonts w:eastAsia="Times New Roman" w:cs="Times New Roman"/>
                <w:b/>
                <w:bCs w:val="false"/>
                <w:color w:val="000000"/>
                <w:spacing w:val="-6"/>
                <w:sz w:val="24"/>
                <w:szCs w:val="24"/>
              </w:rPr>
              <w:t xml:space="preserve">протоколу заседания координационного совещания по обеспечению правопорядка в Пермском крае от 16.03.2022 №74-гс 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spacing w:val="-6"/>
                <w:sz w:val="24"/>
                <w:szCs w:val="24"/>
              </w:rPr>
              <w:t>для строительства объектов городской инфраструктуры (парков, скверов, торгово-развлекательных комплексов, иных зданий и сооружений) обязательным является условие по установке камер видеонаблюдения.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8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4"/>
              </w:numPr>
              <w:spacing w:before="0" w:after="0"/>
              <w:ind w:hanging="283" w:left="51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и (или) минимально допустимые параметры разрешенного строительства</w:t>
              <w:br/>
              <w:t>объекта капитального строительства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Cs w:val="24"/>
              </w:rPr>
              <w:t>Строительство не предусмотрено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ind w:hanging="284" w:left="410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Cs w:val="24"/>
              </w:rPr>
              <w:t>Строительство не предусмотрено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(размер ежегодной арендной платы)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right="0"/>
              <w:rPr/>
            </w:pPr>
            <w:r>
              <w:rPr>
                <w:b w:val="false"/>
                <w:bCs w:val="false"/>
                <w:sz w:val="24"/>
                <w:szCs w:val="24"/>
              </w:rPr>
              <w:t xml:space="preserve">По условиям пункта 4.3 проекта договора аренды земельного участка, приобретаемого на торгах в форме аукциона (Приложение 5 к настоящему извещению), победитель аукциона, иное лицо, с которым договор заключается в соответствии с п.13, п.14, п. 20 или п. 25  ст. 39.12 Земельного Кодекса Российской Федерации (далее – ЗК РФ), обязан в течение </w:t>
            </w:r>
            <w:r>
              <w:rPr>
                <w:b/>
                <w:bCs/>
                <w:sz w:val="24"/>
                <w:szCs w:val="24"/>
              </w:rPr>
              <w:t xml:space="preserve">15 дней </w:t>
            </w:r>
            <w:r>
              <w:rPr>
                <w:b w:val="false"/>
                <w:bCs w:val="false"/>
                <w:sz w:val="24"/>
                <w:szCs w:val="24"/>
              </w:rPr>
              <w:t xml:space="preserve">со дня размещения протокола о результатах аукциона, а в случаях, определенных п.13, п.14, ст. 39.12 ЗК РФ, протокола рассмотрения заявок, уплатить ежегодный размер арендной платы (за вычетом задатка, внесенного для участия в аукционе) </w:t>
            </w:r>
            <w:r>
              <w:rPr>
                <w:b/>
                <w:bCs/>
                <w:sz w:val="24"/>
                <w:szCs w:val="24"/>
                <w:shd w:fill="auto" w:val="clear"/>
              </w:rPr>
              <w:t xml:space="preserve"> </w:t>
            </w:r>
            <w:r>
              <w:rPr>
                <w:b/>
                <w:bCs w:val="false"/>
                <w:color w:val="000000"/>
                <w:sz w:val="24"/>
                <w:szCs w:val="24"/>
                <w:shd w:fill="auto" w:val="clear"/>
              </w:rPr>
              <w:t>однократно за первые 3 года</w:t>
            </w:r>
            <w:r>
              <w:rPr>
                <w:b/>
                <w:bCs/>
                <w:sz w:val="24"/>
                <w:szCs w:val="24"/>
                <w:shd w:fill="auto" w:val="clear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>на</w:t>
            </w:r>
            <w:r>
              <w:rPr>
                <w:b w:val="false"/>
                <w:bCs w:val="false"/>
                <w:sz w:val="24"/>
                <w:szCs w:val="24"/>
              </w:rPr>
              <w:t xml:space="preserve"> счет департамента земельных отношений администрации города Перми, 614015, </w:t>
              <w:br/>
              <w:t xml:space="preserve">ул. Сибирская,15, </w:t>
              <w:br/>
              <w:t xml:space="preserve">тел. 212-61-90 (отдел договоров), </w:t>
            </w: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>реквизиты которого указаны в проекте договора аренды земельного участка (Приложение 5 к настоящему извещению)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187 000 руб.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9 350 руб.</w:t>
            </w:r>
          </w:p>
        </w:tc>
      </w:tr>
      <w:tr>
        <w:trPr>
          <w:trHeight w:val="41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18" w:tgtFrame="http://www.torgi.gov.ru/">
              <w:r>
                <w:rPr>
                  <w:rStyle w:val="Hyperlink"/>
                  <w:sz w:val="24"/>
                  <w:szCs w:val="24"/>
                  <w:lang w:val="en-US"/>
                </w:rPr>
                <w:t>www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torgi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gov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  <w:szCs w:val="24"/>
              </w:rPr>
              <w:t>, www.gorodperm.ru (раздел Деятельность/Муниципальная собственность/Торговая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Решение о проведении аукциона принято в соответствии со статьей 39.11 Земельного кодекса Российской Федерации, аукцион является открытым по составу участников.</w:t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93 500 руб.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аренды земельного участка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лет</w:t>
            </w:r>
          </w:p>
        </w:tc>
      </w:tr>
      <w:tr>
        <w:trPr>
          <w:trHeight w:val="188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является Приложением 5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gorodperm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участков).</w:t>
            </w:r>
          </w:p>
        </w:tc>
      </w:tr>
      <w:tr>
        <w:trPr>
          <w:trHeight w:val="89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before="0" w:after="0"/>
        <w:ind w:left="0"/>
        <w:contextualSpacing/>
        <w:jc w:val="center"/>
        <w:rPr>
          <w:rFonts w:eastAsia="Courier New"/>
          <w:b/>
          <w:bCs/>
          <w:highlight w:val="none"/>
          <w:lang w:bidi="ru-RU"/>
        </w:rPr>
      </w:pPr>
      <w:r>
        <w:rPr>
          <w:rFonts w:eastAsia="Courier New"/>
          <w:b/>
          <w:lang w:bidi="ru-RU"/>
        </w:rPr>
        <w:t>Сроки, время подачи заявок, рассмотрения заявок, проведения аукциона</w:t>
      </w:r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и время начала срока подачи заявок на участие в аукционе – 12.07.2025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>по местному времени (7:00 МСК).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Дата и время окончания срока подачи заявок на участие в аукционе – 11.08.2025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</w:t>
      </w:r>
      <w:r>
        <w:rPr>
          <w:rFonts w:eastAsia="Courier New"/>
          <w:b/>
          <w:bCs/>
          <w:lang w:bidi="ru-RU"/>
        </w:rPr>
        <w:t xml:space="preserve"> 12.08.2025.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bCs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bCs/>
          <w:lang w:bidi="ru-RU"/>
        </w:rPr>
        <w:br w:type="textWrapping" w:clear="all"/>
      </w:r>
      <w:r>
        <w:rPr>
          <w:rFonts w:eastAsia="Courier New"/>
          <w:b/>
          <w:bCs/>
          <w:lang w:bidi="ru-RU"/>
        </w:rPr>
        <w:t>от участников аукциона) – 13.08</w:t>
      </w:r>
      <w:r>
        <w:rPr>
          <w:rFonts w:eastAsia="Courier New"/>
          <w:b/>
          <w:lang w:bidi="ru-RU"/>
        </w:rPr>
        <w:t>.2025</w:t>
      </w:r>
      <w:r>
        <w:rPr>
          <w:rFonts w:eastAsia="Courier New"/>
          <w:lang w:bidi="ru-RU"/>
        </w:rPr>
        <w:t xml:space="preserve"> в 09:00 по местному времени (07:00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highlight w:val="none"/>
        </w:rPr>
      </w:pPr>
      <w:r>
        <w:rPr>
          <w:b/>
        </w:rPr>
        <w:t>Место подачи (приема) заявок и место проведения аукциона:</w:t>
      </w:r>
      <w:r>
        <w:rPr/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  <w:t>Плата оператору электронной площадки за участие в электронном аукционе</w:t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</w:r>
    </w:p>
    <w:p>
      <w:pPr>
        <w:pStyle w:val="Normal"/>
        <w:widowControl w:val="false"/>
        <w:ind w:firstLine="709" w:left="-567"/>
        <w:jc w:val="both"/>
        <w:rPr/>
      </w:pPr>
      <w:r>
        <w:rPr/>
        <w:t xml:space="preserve">В соответствии с постановлением Правительства Российской Федерации от 10 мая 2018 г. </w:t>
      </w:r>
      <w:r>
        <w:rPr/>
        <w:br w:type="textWrapping" w:clear="all"/>
      </w:r>
      <w:r>
        <w:rPr/>
        <w:t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</w:p>
    <w:p>
      <w:pPr>
        <w:pStyle w:val="Normal"/>
        <w:widowControl w:val="false"/>
        <w:ind w:firstLine="709" w:left="-567"/>
        <w:jc w:val="both"/>
        <w:rPr/>
      </w:pPr>
      <w:r>
        <w:rPr/>
        <w:t>По информации оператора электронной площадки АО «Сбербанк-АСТ» в настоящее время взимание платы не установлено.</w:t>
      </w:r>
    </w:p>
    <w:p>
      <w:pPr>
        <w:pStyle w:val="Normal"/>
        <w:widowControl w:val="false"/>
        <w:ind w:firstLine="709" w:left="-567"/>
        <w:jc w:val="both"/>
        <w:rPr/>
      </w:pPr>
      <w:r>
        <w:rPr/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>на лицевом счете заявителя и осуществляет блокирование необходимой денежной суммы.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Сумма задатка для участия в аукционе определяется в размере 50 процентов от начальной цены предмета аукциона. Размер задатка в извещении о проведении аукциона указан по каждому лоту.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</w:p>
    <w:p>
      <w:pPr>
        <w:pStyle w:val="Normal"/>
        <w:widowControl w:val="false"/>
        <w:ind w:firstLine="567" w:left="-567"/>
        <w:jc w:val="both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>Задаток перечисляется на реквизиты Оператора электронной площадки (</w:t>
      </w:r>
      <w:hyperlink r:id="rId19" w:tgtFrame="http://utp.sberbank-ast.ru/AP/Notice/653/Requisites">
        <w:r>
          <w:rPr>
            <w:rStyle w:val="Hyperlink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).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Получатель: АО «Сбербанк-АСТ»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</w:p>
    <w:p>
      <w:pPr>
        <w:pStyle w:val="Normal"/>
        <w:spacing w:lineRule="exact" w:line="240"/>
        <w:rPr/>
      </w:pPr>
      <w:r>
        <w:rPr>
          <w:rFonts w:eastAsia="Calibri"/>
          <w:bCs/>
          <w:lang w:eastAsia="en-US"/>
        </w:rPr>
        <w:t>Банк получателя: ПАО «СБЕРБАНК РОССИИ» Г. МОСКВА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/>
        <w:t xml:space="preserve">Расчетный счет: </w:t>
      </w:r>
      <w:r>
        <w:rPr>
          <w:rFonts w:eastAsia="Calibri"/>
          <w:bCs/>
          <w:lang w:eastAsia="en-US"/>
        </w:rPr>
        <w:t>40702810300020038047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БИК: 044525225</w:t>
      </w:r>
    </w:p>
    <w:p>
      <w:pPr>
        <w:pStyle w:val="Normal"/>
        <w:spacing w:lineRule="exact" w:line="240"/>
        <w:rPr>
          <w:bCs/>
          <w:lang w:bidi="ru-RU"/>
        </w:rPr>
      </w:pPr>
      <w:r>
        <w:rPr>
          <w:rFonts w:eastAsia="Calibri"/>
          <w:bCs/>
          <w:lang w:eastAsia="en-US"/>
        </w:rPr>
        <w:t>Корреспондентский счет: 30101810400000000225</w:t>
      </w:r>
    </w:p>
    <w:p>
      <w:pPr>
        <w:pStyle w:val="Normal"/>
        <w:widowControl w:val="false"/>
        <w:ind w:firstLine="567" w:left="-567"/>
        <w:jc w:val="both"/>
        <w:rPr>
          <w:b/>
        </w:rPr>
      </w:pPr>
      <w:r>
        <w:rPr>
          <w:bCs/>
          <w:lang w:bidi="ru-RU"/>
        </w:rPr>
        <w:t>В платёжном поручении в части «Назначение платежа» необходимо указать: Задаток по лоту  № ___, ИНН плательщика. НДС не облагается.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>c 12.07.2025 по 11.08.2025.</w:t>
      </w:r>
    </w:p>
    <w:p>
      <w:pPr>
        <w:pStyle w:val="Normal"/>
        <w:widowControl w:val="false"/>
        <w:ind w:firstLine="709" w:left="-567"/>
        <w:jc w:val="both"/>
        <w:rPr>
          <w:bCs/>
          <w:lang w:bidi="ru-RU"/>
        </w:rPr>
      </w:pPr>
      <w:r>
        <w:rPr>
          <w:bCs/>
          <w:lang w:bidi="ru-RU"/>
        </w:rPr>
      </w:r>
    </w:p>
    <w:p>
      <w:pPr>
        <w:pStyle w:val="Normal"/>
        <w:widowControl w:val="false"/>
        <w:ind w:firstLine="709" w:left="-567"/>
        <w:jc w:val="center"/>
        <w:rPr>
          <w:b/>
          <w:lang w:bidi="ru-RU"/>
        </w:rPr>
      </w:pPr>
      <w:r>
        <w:rPr>
          <w:b/>
          <w:lang w:bidi="ru-RU"/>
        </w:rPr>
        <w:t>Порядок возврата задатка:</w:t>
      </w:r>
    </w:p>
    <w:p>
      <w:pPr>
        <w:pStyle w:val="Normal"/>
        <w:widowControl w:val="false"/>
        <w:ind w:firstLine="709" w:left="-567"/>
        <w:jc w:val="both"/>
        <w:rPr>
          <w:b/>
          <w:lang w:bidi="ru-RU"/>
        </w:rPr>
      </w:pPr>
      <w:r>
        <w:rPr>
          <w:b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lang w:bidi="ru-RU"/>
        </w:rPr>
      </w:pPr>
      <w:r>
        <w:rPr>
          <w:bCs/>
          <w:lang w:bidi="ru-RU"/>
        </w:rPr>
        <w:t>Задаток возвращается лицам, участвовавшим в аукционе, но не победившим в нем, в течение трех ра</w:t>
      </w:r>
      <w:r>
        <w:rPr>
          <w:bCs/>
          <w:shd w:fill="auto" w:val="clear"/>
          <w:lang w:bidi="ru-RU"/>
        </w:rPr>
        <w:t xml:space="preserve">бочих дней со дня подписания протокола о результатах аукциона, </w:t>
      </w:r>
      <w:r>
        <w:rPr>
          <w:b w:val="false"/>
          <w:bCs/>
          <w:shd w:fill="auto" w:val="clear"/>
          <w:lang w:bidi="ru-RU"/>
        </w:rPr>
        <w:t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shd w:fill="auto" w:val="clear"/>
          <w:lang w:bidi="ru-RU"/>
        </w:rPr>
        <w:br w:type="textWrapping" w:clear="all"/>
      </w:r>
      <w:r>
        <w:rPr>
          <w:shd w:fill="auto" w:val="clear"/>
          <w:lang w:bidi="ru-RU"/>
        </w:rPr>
        <w:t xml:space="preserve">в течение трех рабочих дней со дня оформления протокола рассмотрения заявок на участие в аукционе.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аукциона, единственного принявшего участие </w:t>
        <w:br/>
        <w:t xml:space="preserve">в аукционе участника, а также </w:t>
      </w:r>
      <w:r>
        <w:rPr>
          <w:b w:val="false"/>
          <w:shd w:fill="auto" w:val="clear"/>
          <w:lang w:bidi="ru-RU"/>
        </w:rPr>
        <w:t>участника аукциона, который сделал предпоследнее предложение о цене предмета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shd w:fill="auto" w:val="clear"/>
          <w:lang w:bidi="ru-RU"/>
        </w:rPr>
        <w:br w:type="textWrapping" w:clear="all"/>
      </w:r>
      <w:r>
        <w:rPr>
          <w:shd w:fill="auto" w:val="clear"/>
          <w:lang w:bidi="ru-RU"/>
        </w:rPr>
        <w:t>в установленные сроки формирует поручение Оператору: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>- о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пунктами 13, 14, 20 или 25 ст. 39.12 Земельного кодекса Российской Федерации, засчитываются 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указанного договора, не возвращаются. </w:t>
      </w:r>
    </w:p>
    <w:p>
      <w:pPr>
        <w:pStyle w:val="Normal"/>
        <w:widowControl w:val="false"/>
        <w:spacing w:lineRule="auto" w:line="276"/>
        <w:jc w:val="both"/>
        <w:rPr>
          <w:bCs/>
          <w:highlight w:val="none"/>
          <w:shd w:fill="auto" w:val="clear"/>
          <w:lang w:bidi="ru-RU"/>
        </w:rPr>
      </w:pPr>
      <w:r>
        <w:rPr>
          <w:bCs/>
          <w:shd w:fill="auto" w:val="clear"/>
          <w:lang w:bidi="ru-RU"/>
        </w:rPr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>Организатор аукциона вправе:</w:t>
      </w:r>
    </w:p>
    <w:p>
      <w:pPr>
        <w:pStyle w:val="Normal"/>
        <w:widowControl w:val="false"/>
        <w:jc w:val="center"/>
        <w:rPr>
          <w:rFonts w:eastAsia="Courier New"/>
          <w:highlight w:val="none"/>
          <w:shd w:fill="auto" w:val="clear"/>
          <w:lang w:bidi="ru-RU"/>
        </w:rPr>
      </w:pPr>
      <w:r>
        <w:rPr>
          <w:rFonts w:eastAsia="Courier New"/>
          <w:shd w:fill="auto" w:val="clear"/>
          <w:lang w:bidi="ru-RU"/>
        </w:rPr>
      </w:r>
    </w:p>
    <w:p>
      <w:pPr>
        <w:pStyle w:val="BodyText"/>
        <w:widowControl w:val="false"/>
        <w:ind w:firstLine="709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 xml:space="preserve">Не позднее чем за один рабочий день до даты окончания приема заявок на участие в аукционе 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«шагом аукциона»,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п. 19 ст. 39.11 Земельного кодекса Российской Федерации, изменений в извещение о проведении аукциона до дня проведения аукциона такой срок составлял не менее десяти рабочих дней. </w:t>
      </w:r>
      <w:r>
        <w:rPr>
          <w:rFonts w:eastAsia="Droid Sans Fallback" w:cs="Lohit Devanagari"/>
          <w:b w:val="false"/>
          <w:color w:val="000000"/>
          <w:sz w:val="24"/>
          <w:szCs w:val="24"/>
          <w:shd w:fill="auto" w:val="clear"/>
          <w:lang w:val="ru-RU" w:eastAsia="zh-CN" w:bidi="ar-SA"/>
        </w:rPr>
        <w:t xml:space="preserve">Информация о внесении изменений в извещение о проведении аукциона размещается на официальных сайтах </w:t>
      </w:r>
      <w:r>
        <w:rPr>
          <w:rFonts w:eastAsia="Droid Sans Fallback" w:cs="Lohit Devanagari"/>
          <w:b w:val="false"/>
          <w:bCs/>
          <w:color w:val="000000"/>
          <w:sz w:val="24"/>
          <w:szCs w:val="24"/>
          <w:shd w:fill="auto" w:val="clear"/>
          <w:lang w:val="ru-RU" w:eastAsia="zh-CN" w:bidi="ar-SA"/>
        </w:rPr>
        <w:t>www.torgi.gov.ru,  www.gorodperm.ru.</w:t>
      </w:r>
    </w:p>
    <w:p>
      <w:pPr>
        <w:pStyle w:val="BodyText"/>
        <w:widowControl w:val="false"/>
        <w:ind w:firstLine="709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b w:val="false"/>
          <w:color w:val="000000"/>
          <w:sz w:val="24"/>
          <w:szCs w:val="24"/>
          <w:shd w:fill="auto" w:val="clear"/>
          <w:lang w:val="ru-RU" w:eastAsia="zh-CN" w:bidi="ar-SA"/>
        </w:rPr>
        <w:t>В случае, если за один рабочий день до даты окончания приема заявок на участие в аукционе не поступило ни 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п. 22.1  ст. 39.11 Земельного кодекса Российской Федерации.</w:t>
      </w:r>
    </w:p>
    <w:p>
      <w:pPr>
        <w:pStyle w:val="Normal"/>
        <w:widowControl w:val="false"/>
        <w:ind w:firstLine="567" w:left="-567"/>
        <w:jc w:val="both"/>
        <w:rPr/>
      </w:pPr>
      <w:r>
        <w:rPr>
          <w:shd w:fill="auto" w:val="clear"/>
        </w:rPr>
        <w:t xml:space="preserve">В соответствии с п. 4 ст. 448 Гражданского кодекса Российской Федерации отказаться </w:t>
      </w:r>
      <w:r>
        <w:rPr/>
        <w:br w:type="textWrapping" w:clear="all"/>
      </w:r>
      <w:r>
        <w:rPr/>
        <w:t xml:space="preserve">от проведения аукциона в любое время, но не позднее чем за три дня до наступления даты </w:t>
      </w:r>
      <w:r>
        <w:rPr/>
        <w:br w:type="textWrapping" w:clear="all"/>
      </w:r>
      <w:r>
        <w:rPr/>
        <w:t xml:space="preserve">его проведения, указанной в извещении </w:t>
      </w:r>
      <w:r>
        <w:rPr>
          <w:shd w:fill="auto" w:val="clear"/>
        </w:rPr>
        <w:t xml:space="preserve">о проведении аукциона.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 xml:space="preserve">Организатор аукциона обязан: 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Принять решение об отказе в проведении аукциона в случае выявления обстоятельств, предусмотренных п. 8 ст. 39.11 Земельного кодекса Российской Федерации.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Извещение об отказе в проведении аукциона размещается организатором аукциона на официальных сайтах  </w:t>
      </w:r>
      <w:r>
        <w:rPr>
          <w:rFonts w:eastAsia="Droid Sans Fallback" w:cs="Lohit Devanagari"/>
          <w:b w:val="false"/>
          <w:bCs/>
          <w:color w:val="000000"/>
          <w:sz w:val="24"/>
          <w:szCs w:val="24"/>
          <w:shd w:fill="auto" w:val="clear"/>
          <w:lang w:val="ru-RU" w:eastAsia="zh-CN" w:bidi="ar-SA"/>
        </w:rPr>
        <w:t xml:space="preserve">www.torgi.gov.ru,  www.gorodperm.ru </w:t>
      </w:r>
      <w:r>
        <w:rPr>
          <w:shd w:fill="auto" w:val="clear"/>
        </w:rPr>
        <w:t xml:space="preserve"> и на электронной площадке в течение трех дней со дня принятия данного решения.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его участникам.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 случае отказа от проведения аукциона организатором (в т. ч. одного или нескольких лотов)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ind w:left="502"/>
        <w:jc w:val="center"/>
        <w:rPr>
          <w:highlight w:val="none"/>
          <w:shd w:fill="auto" w:val="clear"/>
        </w:rPr>
      </w:pPr>
      <w:r>
        <w:rPr>
          <w:rFonts w:eastAsia="Courier New"/>
          <w:b/>
          <w:shd w:fill="auto" w:val="clear"/>
          <w:lang w:bidi="ru-RU"/>
        </w:rPr>
        <w:t>Порядок регистрации на электронной площадке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highlight w:val="none"/>
          <w:shd w:fill="auto" w:val="clear"/>
          <w:lang w:bidi="ru-RU"/>
        </w:rPr>
      </w:pPr>
      <w:r>
        <w:rPr>
          <w:rFonts w:eastAsia="Courier New"/>
          <w:b/>
          <w:bCs/>
          <w:shd w:fill="auto" w:val="clear"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>Регистрация на электронной площадке проводится в соответствии с регламентом электронной площадки.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12.07.2025 по 11.08.2025 с 9.00 до 18.00 по местному времени (7:00 – 16:00 МСК). </w:t>
      </w:r>
    </w:p>
    <w:p>
      <w:pPr>
        <w:pStyle w:val="NormalWeb"/>
        <w:jc w:val="center"/>
        <w:rPr>
          <w:highlight w:val="none"/>
          <w:shd w:fill="auto" w:val="clear"/>
        </w:rPr>
      </w:pPr>
      <w:r>
        <w:rPr>
          <w:b/>
          <w:color w:val="000000"/>
          <w:shd w:fill="auto" w:val="clear"/>
        </w:rPr>
        <w:t>Разъяснение положений извещения о проведении аукциона</w:t>
      </w:r>
    </w:p>
    <w:p>
      <w:pPr>
        <w:pStyle w:val="ListParagraph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>не рассматриваются.</w:t>
      </w:r>
    </w:p>
    <w:p>
      <w:pPr>
        <w:pStyle w:val="ListParagraph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</w:p>
    <w:p>
      <w:pPr>
        <w:pStyle w:val="Normal"/>
        <w:widowControl w:val="false"/>
        <w:spacing w:lineRule="auto" w:line="276"/>
        <w:ind w:firstLine="709" w:left="-567"/>
        <w:jc w:val="both"/>
        <w:rPr>
          <w:bCs/>
          <w:highlight w:val="none"/>
          <w:shd w:fill="auto" w:val="clear"/>
          <w:lang w:bidi="ru-RU"/>
        </w:rPr>
      </w:pPr>
      <w:r>
        <w:rPr>
          <w:bCs/>
          <w:shd w:fill="auto" w:val="clear"/>
          <w:lang w:bidi="ru-RU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/>
          <w:bCs/>
          <w:shd w:fill="auto" w:val="clear"/>
        </w:rPr>
        <w:t>Требования к содержанию и составу заявки на участие в аукционе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shd w:fill="auto" w:val="clear"/>
        </w:rPr>
        <w:t xml:space="preserve">Заявка (Приложение 1 к настоящему извещению) и прилагаемые документы подаются заявителем в отношении каждого заявляемого лота по форме и в сроки, установленные извещением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rFonts w:eastAsia="Courier New"/>
          <w:shd w:fill="auto" w:val="clear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shd w:fill="auto" w:val="clear"/>
          <w:lang w:bidi="ru-RU"/>
        </w:rPr>
        <w:br w:type="textWrapping" w:clear="all"/>
      </w:r>
      <w:r>
        <w:rPr>
          <w:rFonts w:eastAsia="Courier New"/>
          <w:shd w:fill="auto" w:val="clear"/>
          <w:lang w:bidi="ru-RU"/>
        </w:rPr>
        <w:t>о проведении аукциона срок следующие документы: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2) копии документов, удостоверяющих личность заявителя (для граждан), всех страниц;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3) надлежащим образом заверенный перевод на русский язык документов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4) документы, подтверждающие внесение задатка.</w:t>
      </w:r>
    </w:p>
    <w:p>
      <w:pPr>
        <w:pStyle w:val="Normal"/>
        <w:jc w:val="both"/>
        <w:rPr>
          <w:rFonts w:eastAsia="Calibri"/>
          <w:highlight w:val="none"/>
          <w:shd w:fill="auto" w:val="clear"/>
        </w:rPr>
      </w:pPr>
      <w:r>
        <w:rPr>
          <w:rFonts w:eastAsia="Calibri"/>
          <w:shd w:fill="auto" w:val="clear"/>
        </w:rPr>
      </w:r>
    </w:p>
    <w:p>
      <w:pPr>
        <w:pStyle w:val="Normal"/>
        <w:ind w:firstLine="708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>Инструкция по заполнению и подаче заявки, порядок приема заявки</w:t>
      </w:r>
    </w:p>
    <w:p>
      <w:pPr>
        <w:pStyle w:val="Normal"/>
        <w:ind w:firstLine="708"/>
        <w:jc w:val="center"/>
        <w:rPr>
          <w:b/>
          <w:highlight w:val="none"/>
          <w:shd w:fill="auto" w:val="clear"/>
        </w:rPr>
      </w:pPr>
      <w:r>
        <w:rPr>
          <w:b/>
          <w:shd w:fill="auto" w:val="clear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Земельного кодекса Российской Федерации.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Заполнение заявки осуществляется в соответствии с порядком, определенным регламентом электронной площадки АО «Сбербанк-АСТ».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Подача заявки осуществляется заявителем, зарегистрированным в торговой секции,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из личного кабинета посредством штатного интерфейса торговой секции отдельно по каждому лоту в сроки, установленные в извещении о проведении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Заявитель вправе подать заявку в любое время с момента размещения извещения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 до предусмотренных указанным извещением даты и времени окончания срока подачи заявок.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Один заявитель вправе подать только одну заявку на участие в аукционе в отношении каждого лота.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Участие в аукционе возможно при наличии на лицевом счете заявителя денежных средств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 xml:space="preserve">в размере не менее чем размер задатка на участие в аукционе, предусмотренный извещением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Все документы, входящие в состав заявки, должны иметь четко читаемый текст.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предоставляется организатору аукциона через Оператора.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Заявка не может быть принята Оператором в случае: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а) отсутствия на лицевом счете заявителя достаточной суммы денежных средств </w:t>
      </w:r>
      <w:r>
        <w:rPr>
          <w:bCs/>
          <w:shd w:fill="auto" w:val="clear"/>
        </w:rPr>
        <w:br w:type="textWrapping" w:clear="all"/>
      </w:r>
      <w:r>
        <w:rPr>
          <w:bCs/>
          <w:shd w:fill="auto" w:val="clear"/>
        </w:rPr>
        <w:t>в размере задатка;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в) подачи заявки по истечении установленного срока подачи заявок;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г) некорректного заполнения формы заявки, в том числе незаполнения полей, являющихся обязательными для заполнения.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Заявителям, признанным участниками аукциона, и заявителям,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spacing w:lineRule="auto" w:line="276"/>
        <w:ind w:firstLine="567" w:left="-567"/>
        <w:jc w:val="both"/>
        <w:outlineLvl w:val="0"/>
        <w:rPr>
          <w:bCs/>
          <w:highlight w:val="none"/>
          <w:shd w:fill="auto" w:val="clear"/>
        </w:rPr>
      </w:pPr>
      <w:r>
        <w:rPr>
          <w:bCs/>
          <w:shd w:fill="auto" w:val="clear"/>
        </w:rPr>
      </w:r>
    </w:p>
    <w:p>
      <w:pPr>
        <w:pStyle w:val="Normal"/>
        <w:widowControl w:val="false"/>
        <w:ind w:left="502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  <w:lang w:bidi="ru-RU"/>
        </w:rPr>
        <w:t>Порядок и срок изменения, отзыва заявки на участие в аукционе</w:t>
      </w:r>
    </w:p>
    <w:p>
      <w:pPr>
        <w:pStyle w:val="Normal"/>
        <w:widowControl w:val="false"/>
        <w:ind w:left="502"/>
        <w:rPr>
          <w:b/>
          <w:bCs/>
          <w:highlight w:val="none"/>
          <w:shd w:fill="auto" w:val="clear"/>
          <w:lang w:bidi="ru-RU"/>
        </w:rPr>
      </w:pPr>
      <w:r>
        <w:rPr>
          <w:b/>
          <w:bCs/>
          <w:shd w:fill="auto" w:val="clear"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Заявитель имеет право отозвать принятую организатором аукциона заявку на участие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 xml:space="preserve">в аукционе до дня окончания срока приема заявок, путем направления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</w:rPr>
        <w:t>Определение участников аукциона</w:t>
      </w:r>
    </w:p>
    <w:p>
      <w:pPr>
        <w:pStyle w:val="Normal"/>
        <w:jc w:val="center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  <w:shd w:fill="auto" w:val="clear"/>
        </w:rPr>
        <w:br w:type="textWrapping" w:clear="all"/>
      </w:r>
      <w:r>
        <w:rPr>
          <w:bCs/>
          <w:shd w:fill="auto" w:val="clear"/>
        </w:rPr>
        <w:t>к участию в аукционе или об отказе в допуске к участию в аукционе.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Заявитель не допускается к участию в аукционе в следующих случаях: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z w:val="20"/>
          <w:shd w:fill="auto" w:val="clear"/>
        </w:rPr>
        <w:t xml:space="preserve">1) </w:t>
      </w:r>
      <w:r>
        <w:rPr>
          <w:shd w:fill="auto" w:val="clear"/>
        </w:rPr>
        <w:t>непредставление необходимых для участия в аукционе документов или представление недостоверных сведений;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shd w:fill="auto" w:val="clear"/>
        </w:rPr>
        <w:t>2) непоступление задатка на дату рассмотрения заявок на участие в аукционе;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>в аренду;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В день признания заявителей участниками аукциона, указанный в извещении </w:t>
        <w:br/>
        <w:t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Заявитель приобретает статус участника аукциона с момента подписания протокола рассмотрения заявок.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Не позднее следующего рабочего дня после дня подписания протокола рассмотрения заявок,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отказа. </w:t>
      </w:r>
    </w:p>
    <w:p>
      <w:pPr>
        <w:pStyle w:val="BodyText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на участие в аукционе, включается информация об основании признания аукциона несостоявшимся и сведения, указанные в подпункте 4 пункта 15  ст. 39.12 З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емельного кодекса Российской Федерации</w:t>
      </w: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>, в отношении лиц, указанных в пунктах 13 и 14 ст. 39.12 З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емельного кодекса Российской Федерации.</w:t>
      </w:r>
    </w:p>
    <w:p>
      <w:pPr>
        <w:pStyle w:val="Normal"/>
        <w:widowControl w:val="false"/>
        <w:ind w:firstLine="567" w:left="-567"/>
        <w:jc w:val="both"/>
        <w:rPr>
          <w:rFonts w:ascii="Times New Roman" w:hAnsi="Times New Roman" w:eastAsia="Droid Sans Fallback" w:cs="Lohit Devanagari"/>
          <w:color w:val="auto"/>
          <w:sz w:val="24"/>
          <w:szCs w:val="24"/>
          <w:highlight w:val="none"/>
          <w:shd w:fill="auto" w:val="clear"/>
          <w:lang w:val="ru-RU" w:eastAsia="zh-CN" w:bidi="ar-SA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</w:r>
    </w:p>
    <w:p>
      <w:pPr>
        <w:pStyle w:val="Normal"/>
        <w:widowControl w:val="false"/>
        <w:spacing w:lineRule="auto" w:line="276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</w:rPr>
        <w:t>Порядок проведения аукциона</w:t>
      </w:r>
    </w:p>
    <w:p>
      <w:pPr>
        <w:pStyle w:val="Normal"/>
        <w:widowControl w:val="false"/>
        <w:ind w:left="502"/>
        <w:jc w:val="center"/>
        <w:rPr>
          <w:rFonts w:eastAsia="Courier New"/>
          <w:b/>
          <w:bCs/>
          <w:highlight w:val="none"/>
          <w:shd w:fill="auto" w:val="clear"/>
          <w:lang w:bidi="ru-RU"/>
        </w:rPr>
      </w:pPr>
      <w:r>
        <w:rPr>
          <w:rFonts w:eastAsia="Courier New"/>
          <w:b/>
          <w:bCs/>
          <w:shd w:fill="auto" w:val="clear"/>
          <w:lang w:bidi="ru-RU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«Шаг аукциона» устанавливается Организатором аукциона в фиксированной сумме, составляющей 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5% от начальной цены предмета аукциона</w:t>
      </w:r>
      <w:r>
        <w:rPr>
          <w:rFonts w:eastAsia="Calibri"/>
          <w:shd w:fill="auto" w:val="clear"/>
        </w:rPr>
        <w:t>, и не изменяется в течение всего времени подачи предложений о цене.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о цене предмета аукциона на величину «шага аукциона»;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Время для подачи предложений о цене аукциона определяется в следующем порядке: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 xml:space="preserve">10 (десять) минут. При поступлении предложения участника аукциона </w:t>
        <w:br/>
        <w:t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 же как время, оставшееся до окончания торгов в минутах.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в момент его поступления и соответствующее уведомление участника аукциона, в случаях, если: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предложение о цене аукциона предоставлено до начала или по истечении установленного времени для подачи предложений о цене аукциона;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ниже начальной цены;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равно нулю;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участником аукциона предложение о цене аукциона меньше ранее представленных предложений.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за земельный участок или наибольший размер ежегодной арендной платы за земельный участок.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</w:p>
    <w:p>
      <w:pPr>
        <w:pStyle w:val="Normal"/>
        <w:ind w:firstLine="567" w:left="-567"/>
        <w:jc w:val="both"/>
        <w:rPr>
          <w:rFonts w:eastAsia="Calibri"/>
          <w:highlight w:val="none"/>
          <w:shd w:fill="auto" w:val="clear"/>
        </w:rPr>
      </w:pPr>
      <w:r>
        <w:rPr>
          <w:rFonts w:eastAsia="Calibri"/>
          <w:shd w:fill="auto" w:val="clear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/>
          <w:bCs/>
          <w:shd w:fill="auto" w:val="clear"/>
        </w:rPr>
        <w:t>Порядок и срок заключения договора</w:t>
      </w:r>
      <w:r>
        <w:rPr>
          <w:b/>
          <w:bCs/>
          <w:shd w:fill="auto" w:val="clear"/>
        </w:rPr>
        <w:br w:type="textWrapping" w:clear="all"/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По результатам проведения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аукционе в случае, ес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ли аукцион признан несостоявшимся, либо протокола о результатах аукциона на официальных сайтах www.torgi.gov.ru,  www.gorodperm.ru.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Департамент земельных отношений администрации города Перми обязан в течение пяти дней со дня истечения срока, предусмотренного пунктом 11 статьи 39.13 Земельного кодекса Российской Федерации, направить победителю аукциона или иным лицам, с которыми в соответствии с пунктами 13, 14, 20 и 25 статьи 39.12 Земельного кодекса Российской Федерации заключается  договор аренды земельного участка, подписанный проект договора  аренды земельного участка.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По результатам проведения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>Проекты договоров является частью извещения и представлены в Приложениях 2-5  к настоящему извещению.</w:t>
        <w:tab/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Если договор аренды земельного участка </w:t>
      </w:r>
      <w:r>
        <w:rPr>
          <w:b w:val="false"/>
          <w:bCs/>
          <w:shd w:fill="auto" w:val="clear"/>
        </w:rPr>
        <w:t>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 города Перми, департамент земельных отношений администрации города Перми направляет указанный договор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67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rFonts w:eastAsia="Courier New"/>
          <w:shd w:fill="auto" w:val="clear"/>
          <w:lang w:bidi="ru-RU"/>
        </w:rPr>
        <w:t>Сведения о победителях аукционов, уклонившихся от заключения договора  аренды земельного участка, являющегося предметом аукциона, и об иных лицах, с которыми указанный договор заключается в соответствии с пунктом 13, 14, 20 или 25 ст. 39.12 Земельного кодекса Российской Федерации и которые уклонились от заключения, включаются в реестр недобросовестных участников аукциона.</w:t>
      </w:r>
    </w:p>
    <w:sectPr>
      <w:headerReference w:type="default" r:id="rId20"/>
      <w:headerReference w:type="first" r:id="rId21"/>
      <w:type w:val="nextPage"/>
      <w:pgSz w:w="11906" w:h="16838"/>
      <w:pgMar w:left="1418" w:right="567" w:gutter="0" w:header="363" w:top="420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Calibri Light">
    <w:charset w:val="01"/>
    <w:family w:val="roman"/>
    <w:pitch w:val="variable"/>
  </w:font>
  <w:font w:name="Open Sans">
    <w:charset w:val="01"/>
    <w:family w:val="roman"/>
    <w:pitch w:val="variable"/>
  </w:font>
  <w:font w:name="Consultant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20"/>
        <w:szCs w:val="28"/>
      </w:rPr>
    </w:pPr>
    <w:r>
      <w:rPr>
        <w:sz w:val="20"/>
        <w:szCs w:val="28"/>
      </w:rPr>
      <w:fldChar w:fldCharType="begin"/>
    </w:r>
    <w:r>
      <w:rPr>
        <w:sz w:val="20"/>
        <w:szCs w:val="28"/>
      </w:rPr>
      <w:instrText xml:space="preserve"> PAGE </w:instrText>
    </w:r>
    <w:r>
      <w:rPr>
        <w:sz w:val="20"/>
        <w:szCs w:val="28"/>
      </w:rPr>
      <w:fldChar w:fldCharType="separate"/>
    </w:r>
    <w:r>
      <w:rPr>
        <w:sz w:val="20"/>
        <w:szCs w:val="28"/>
      </w:rPr>
      <w:t>2</w:t>
    </w:r>
    <w:r>
      <w:rPr>
        <w:sz w:val="20"/>
        <w:szCs w:val="28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u w:val="none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u w:val="none"/>
        <w:szCs w:val="24"/>
        <w:color w:val="000000"/>
        <w:lang w:val="ru-RU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lang w:bidi="ru-RU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lang w:eastAsia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bCs/>
        <w:lang w:eastAsia="en-US" w:bidi="ru-RU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b/>
        <w:bCs/>
        <w:lang w:bidi="ru-RU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u w:val="none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u w:val="none"/>
        <w:szCs w:val="24"/>
        <w:color w:val="000000"/>
        <w:lang w:val="ru-RU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lang w:bidi="ru-RU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lang w:eastAsia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bCs/>
        <w:lang w:eastAsia="en-US" w:bidi="ru-RU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b/>
        <w:bCs/>
        <w:lang w:bidi="ru-RU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11" w:customStyle="1">
    <w:name w:val="Заголовок Знак1"/>
    <w:uiPriority w:val="10"/>
    <w:qFormat/>
    <w:rPr>
      <w:sz w:val="48"/>
      <w:szCs w:val="48"/>
    </w:rPr>
  </w:style>
  <w:style w:type="character" w:styleId="Style5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uiPriority w:val="29"/>
    <w:qFormat/>
    <w:rPr>
      <w:i/>
    </w:rPr>
  </w:style>
  <w:style w:type="character" w:styleId="Style6" w:customStyle="1">
    <w:name w:val="Выделенная цитата Знак"/>
    <w:uiPriority w:val="30"/>
    <w:qFormat/>
    <w:rPr>
      <w:i/>
    </w:rPr>
  </w:style>
  <w:style w:type="character" w:styleId="12" w:customStyle="1">
    <w:name w:val="Верхний колонтитул Знак1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13" w:customStyle="1">
    <w:name w:val="Нижний колонтитул Знак1"/>
    <w:uiPriority w:val="99"/>
    <w:qFormat/>
    <w:rPr/>
  </w:style>
  <w:style w:type="character" w:styleId="Style7" w:customStyle="1">
    <w:name w:val="Текст сноски Знак"/>
    <w:uiPriority w:val="99"/>
    <w:qFormat/>
    <w:rPr>
      <w:sz w:val="18"/>
    </w:rPr>
  </w:style>
  <w:style w:type="character" w:styleId="Style8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9" w:customStyle="1">
    <w:name w:val="Текст концевой сноски Знак"/>
    <w:uiPriority w:val="99"/>
    <w:qFormat/>
    <w:rPr>
      <w:sz w:val="20"/>
    </w:rPr>
  </w:style>
  <w:style w:type="character" w:styleId="Style1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sz w:val="16"/>
      <w:szCs w:val="16"/>
    </w:rPr>
  </w:style>
  <w:style w:type="character" w:styleId="WW8Num6z0" w:customStyle="1">
    <w:name w:val="WW8Num6z0"/>
    <w:qFormat/>
    <w:rPr/>
  </w:style>
  <w:style w:type="character" w:styleId="WW8Num7z0" w:customStyle="1">
    <w:name w:val="WW8Num7z0"/>
    <w:qFormat/>
    <w:rPr/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/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/>
  </w:style>
  <w:style w:type="character" w:styleId="WW8Num12z0" w:customStyle="1">
    <w:name w:val="WW8Num12z0"/>
    <w:qFormat/>
    <w:rPr/>
  </w:style>
  <w:style w:type="character" w:styleId="WW8Num13z0" w:customStyle="1">
    <w:name w:val="WW8Num13z0"/>
    <w:qFormat/>
    <w:rPr/>
  </w:style>
  <w:style w:type="character" w:styleId="WW8Num14z0" w:customStyle="1">
    <w:name w:val="WW8Num14z0"/>
    <w:qFormat/>
    <w:rPr/>
  </w:style>
  <w:style w:type="character" w:styleId="WW8Num15z0" w:customStyle="1">
    <w:name w:val="WW8Num15z0"/>
    <w:qFormat/>
    <w:rPr/>
  </w:style>
  <w:style w:type="character" w:styleId="WW8Num18z0" w:customStyle="1">
    <w:name w:val="WW8Num18z0"/>
    <w:qFormat/>
    <w:rPr/>
  </w:style>
  <w:style w:type="character" w:styleId="WW8Num19z0" w:customStyle="1">
    <w:name w:val="WW8Num19z0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/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5z0" w:customStyle="1">
    <w:name w:val="WW8Num25z0"/>
    <w:qFormat/>
    <w:rPr/>
  </w:style>
  <w:style w:type="character" w:styleId="WW8Num26z0" w:customStyle="1">
    <w:name w:val="WW8Num26z0"/>
    <w:qFormat/>
    <w:rPr/>
  </w:style>
  <w:style w:type="character" w:styleId="WW8Num27z0" w:customStyle="1">
    <w:name w:val="WW8Num27z0"/>
    <w:qFormat/>
    <w:rPr/>
  </w:style>
  <w:style w:type="character" w:styleId="WW8Num29z0" w:customStyle="1">
    <w:name w:val="WW8Num29z0"/>
    <w:qFormat/>
    <w:rPr>
      <w:rFonts w:ascii="Symbol" w:hAnsi="Symbol" w:cs="Symbol"/>
    </w:rPr>
  </w:style>
  <w:style w:type="character" w:styleId="WW8Num30z0" w:customStyle="1">
    <w:name w:val="WW8Num30z0"/>
    <w:qFormat/>
    <w:rPr/>
  </w:style>
  <w:style w:type="character" w:styleId="WW8Num31z0" w:customStyle="1">
    <w:name w:val="WW8Num31z0"/>
    <w:qFormat/>
    <w:rPr/>
  </w:style>
  <w:style w:type="character" w:styleId="WW8Num32z0" w:customStyle="1">
    <w:name w:val="WW8Num32z0"/>
    <w:qFormat/>
    <w:rPr/>
  </w:style>
  <w:style w:type="character" w:styleId="WW8Num33z0" w:customStyle="1">
    <w:name w:val="WW8Num33z0"/>
    <w:qFormat/>
    <w:rPr/>
  </w:style>
  <w:style w:type="character" w:styleId="WW8Num34z0" w:customStyle="1">
    <w:name w:val="WW8Num34z0"/>
    <w:qFormat/>
    <w:rPr/>
  </w:style>
  <w:style w:type="character" w:styleId="Pagenumber">
    <w:name w:val="page number"/>
    <w:basedOn w:val="DefaultParagraphFont"/>
    <w:qFormat/>
    <w:rPr/>
  </w:style>
  <w:style w:type="character" w:styleId="Style11" w:customStyle="1">
    <w:name w:val="Текст Знак"/>
    <w:qFormat/>
    <w:rPr>
      <w:rFonts w:ascii="Courier New" w:hAnsi="Courier New" w:cs="Courier New"/>
    </w:rPr>
  </w:style>
  <w:style w:type="character" w:styleId="Style12" w:customStyle="1">
    <w:name w:val="Верхний колонтитул Знак"/>
    <w:qFormat/>
    <w:rPr>
      <w:sz w:val="16"/>
      <w:lang w:val="ru-RU" w:bidi="ar-SA"/>
    </w:rPr>
  </w:style>
  <w:style w:type="character" w:styleId="31" w:customStyle="1">
    <w:name w:val="Основной текст с отступом 3 Знак"/>
    <w:qFormat/>
    <w:rPr>
      <w:sz w:val="16"/>
      <w:szCs w:val="16"/>
    </w:rPr>
  </w:style>
  <w:style w:type="character" w:styleId="Hyperlink">
    <w:name w:val="Hyperlink"/>
    <w:rPr>
      <w:color w:val="0563C1"/>
      <w:u w:val="single"/>
    </w:rPr>
  </w:style>
  <w:style w:type="character" w:styleId="Style13" w:customStyle="1">
    <w:name w:val="Абзац списка Знак"/>
    <w:qFormat/>
    <w:rPr>
      <w:sz w:val="24"/>
      <w:szCs w:val="24"/>
    </w:rPr>
  </w:style>
  <w:style w:type="character" w:styleId="6" w:customStyle="1">
    <w:name w:val="Заголовок 6 Знак"/>
    <w:qFormat/>
    <w:rPr>
      <w:b/>
      <w:bCs/>
      <w:sz w:val="22"/>
      <w:szCs w:val="22"/>
    </w:rPr>
  </w:style>
  <w:style w:type="character" w:styleId="Style14" w:customStyle="1">
    <w:name w:val="Название Знак"/>
    <w:qFormat/>
    <w:rPr>
      <w:sz w:val="28"/>
      <w:lang w:val="ru-RU" w:bidi="ar-SA"/>
    </w:rPr>
  </w:style>
  <w:style w:type="character" w:styleId="Style15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Style16" w:customStyle="1">
    <w:name w:val="Нижний колонтитул Знак"/>
    <w:qFormat/>
    <w:rPr/>
  </w:style>
  <w:style w:type="character" w:styleId="FollowedHyperlink">
    <w:name w:val="FollowedHyperlink"/>
    <w:rPr>
      <w:color w:val="954F72"/>
      <w:u w:val="single"/>
    </w:rPr>
  </w:style>
  <w:style w:type="character" w:styleId="Style17" w:customStyle="1">
    <w:name w:val="Гиперссылка"/>
    <w:qFormat/>
    <w:rPr>
      <w:color w:val="0000FF"/>
      <w:u w:val="single"/>
    </w:rPr>
  </w:style>
  <w:style w:type="character" w:styleId="Style18">
    <w:name w:val="Символ нумерации"/>
    <w:qFormat/>
    <w:rPr/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ind w:left="708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Subtitle">
    <w:name w:val="Subtitle"/>
    <w:basedOn w:val="Normal"/>
    <w:uiPriority w:val="11"/>
    <w:qFormat/>
    <w:pPr>
      <w:spacing w:before="200" w:after="200"/>
    </w:pPr>
    <w:rPr/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pPr/>
    <w:rPr/>
  </w:style>
  <w:style w:type="paragraph" w:styleId="Indexheading1">
    <w:name w:val="index heading1"/>
    <w:basedOn w:val="Normal"/>
    <w:qFormat/>
    <w:pPr>
      <w:suppressLineNumbers/>
    </w:pPr>
    <w:rPr>
      <w:rFonts w:cs="Lohit Devanagari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  <w:lang w:val="en-US"/>
    </w:rPr>
  </w:style>
  <w:style w:type="paragraph" w:styleId="ConsNormal" w:customStyle="1">
    <w:name w:val="ConsNormal"/>
    <w:qFormat/>
    <w:pPr>
      <w:widowControl/>
      <w:suppressAutoHyphens w:val="true"/>
      <w:bidi w:val="0"/>
      <w:spacing w:before="0" w:after="0"/>
      <w:ind w:firstLine="720"/>
      <w:jc w:val="left"/>
    </w:pPr>
    <w:rPr>
      <w:rFonts w:ascii="Consultant" w:hAnsi="Consultant" w:eastAsia="Droid Sans Fallback" w:cs="Consultant"/>
      <w:color w:val="auto"/>
      <w:kern w:val="0"/>
      <w:sz w:val="20"/>
      <w:szCs w:val="20"/>
      <w:lang w:val="ru-RU" w:eastAsia="zh-CN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Style21" w:customStyle="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Lohit Devanagari"/>
      <w:color w:val="auto"/>
      <w:kern w:val="0"/>
      <w:sz w:val="20"/>
      <w:szCs w:val="20"/>
      <w:lang w:val="ru-RU" w:eastAsia="zh-CN" w:bidi="ar-SA"/>
    </w:rPr>
  </w:style>
  <w:style w:type="paragraph" w:styleId="Header">
    <w:name w:val="Header"/>
    <w:pPr>
      <w:widowControl/>
      <w:tabs>
        <w:tab w:val="clear" w:pos="708"/>
        <w:tab w:val="center" w:pos="4153" w:leader="none"/>
        <w:tab w:val="right" w:pos="8306" w:leader="none"/>
      </w:tabs>
      <w:suppressAutoHyphens w:val="true"/>
      <w:bidi w:val="0"/>
      <w:spacing w:before="0" w:after="0"/>
      <w:jc w:val="center"/>
    </w:pPr>
    <w:rPr>
      <w:rFonts w:ascii="Times New Roman" w:hAnsi="Times New Roman" w:eastAsia="Droid Sans Fallback" w:cs="Lohit Devanagari"/>
      <w:color w:val="auto"/>
      <w:kern w:val="0"/>
      <w:sz w:val="16"/>
      <w:szCs w:val="20"/>
      <w:lang w:val="ru-RU" w:eastAsia="zh-CN" w:bidi="ar-SA"/>
    </w:rPr>
  </w:style>
  <w:style w:type="paragraph" w:styleId="BodyTextIndent3">
    <w:name w:val="Body Text Indent 3"/>
    <w:basedOn w:val="Normal"/>
    <w:qFormat/>
    <w:pPr>
      <w:spacing w:before="0" w:after="120"/>
      <w:ind w:left="283"/>
    </w:pPr>
    <w:rPr>
      <w:sz w:val="16"/>
      <w:szCs w:val="16"/>
      <w:lang w:val="en-U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000000"/>
      <w:kern w:val="0"/>
      <w:sz w:val="24"/>
      <w:szCs w:val="24"/>
      <w:lang w:val="ru-RU" w:eastAsia="zh-CN" w:bidi="ar-SA"/>
    </w:rPr>
  </w:style>
  <w:style w:type="paragraph" w:styleId="Style23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paragraph" w:styleId="TimesNewRoman">
    <w:name w:val="Times New Roman"/>
    <w:qFormat/>
    <w:pPr>
      <w:keepNext w:val="false"/>
      <w:keepLines w:val="false"/>
      <w:pageBreakBefore w:val="false"/>
      <w:widowControl/>
      <w:shd w:val="nil"/>
      <w:suppressAutoHyphens w:val="true"/>
      <w:bidi w:val="0"/>
      <w:spacing w:lineRule="auto" w:line="240" w:beforeAutospacing="0" w:before="0" w:afterAutospacing="0" w:after="0"/>
      <w:ind w:firstLine="311" w:left="0" w:right="0"/>
      <w:jc w:val="both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styleId="826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7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8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29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30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831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2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3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40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1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2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3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4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5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6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7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8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9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0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1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2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3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4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855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856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857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58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59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60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61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868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8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8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75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2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90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91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92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93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94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95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96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7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8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9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0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1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2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3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4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5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6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7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8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9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0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7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9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9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9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9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9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9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924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9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9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9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931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32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33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34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35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36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37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38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39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40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41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42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43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44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45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946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947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948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949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950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951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52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hyperlink" Target="http://www.gorodperm.ru/" TargetMode="External"/><Relationship Id="rId4" Type="http://schemas.openxmlformats.org/officeDocument/2006/relationships/hyperlink" Target="http://utp.sberbank-ast.ru/" TargetMode="External"/><Relationship Id="rId5" Type="http://schemas.openxmlformats.org/officeDocument/2006/relationships/hyperlink" Target="http://utp.sberbank-ast.ru/" TargetMode="External"/><Relationship Id="rId6" Type="http://schemas.openxmlformats.org/officeDocument/2006/relationships/hyperlink" Target="https://utp.sberbank-ast.ru/Main/Notice/988/Reglament" TargetMode="External"/><Relationship Id="rId7" Type="http://schemas.openxmlformats.org/officeDocument/2006/relationships/hyperlink" Target="https://utp.sberbank-ast.ru/AP/Notice/1027/Instructions" TargetMode="External"/><Relationship Id="rId8" Type="http://schemas.openxmlformats.org/officeDocument/2006/relationships/hyperlink" Target="https://utp.sberbank-ast.ru/AP/Notice/652/Instructions" TargetMode="External"/><Relationship Id="rId9" Type="http://schemas.openxmlformats.org/officeDocument/2006/relationships/hyperlink" Target="http://www.gorodperm.ru/" TargetMode="External"/><Relationship Id="rId10" Type="http://schemas.openxmlformats.org/officeDocument/2006/relationships/hyperlink" Target="http://www.gorodperm.ru/" TargetMode="External"/><Relationship Id="rId11" Type="http://schemas.openxmlformats.org/officeDocument/2006/relationships/hyperlink" Target="http://www.torgi.gov.ru/" TargetMode="External"/><Relationship Id="rId12" Type="http://schemas.openxmlformats.org/officeDocument/2006/relationships/hyperlink" Target="http://www.gorodperm.ru/" TargetMode="External"/><Relationship Id="rId13" Type="http://schemas.openxmlformats.org/officeDocument/2006/relationships/hyperlink" Target="http://www.gorodperm.ru/" TargetMode="External"/><Relationship Id="rId14" Type="http://schemas.openxmlformats.org/officeDocument/2006/relationships/hyperlink" Target="http://www.torgi.gov.ru/" TargetMode="External"/><Relationship Id="rId15" Type="http://schemas.openxmlformats.org/officeDocument/2006/relationships/hyperlink" Target="http://www.gorodperm.ru/" TargetMode="External"/><Relationship Id="rId16" Type="http://schemas.openxmlformats.org/officeDocument/2006/relationships/hyperlink" Target="http://www.gorodperm.ru/" TargetMode="External"/><Relationship Id="rId17" Type="http://schemas.openxmlformats.org/officeDocument/2006/relationships/hyperlink" Target="http://www.torgi.gov.ru/" TargetMode="External"/><Relationship Id="rId18" Type="http://schemas.openxmlformats.org/officeDocument/2006/relationships/hyperlink" Target="http://www.torgi.gov.ru/" TargetMode="External"/><Relationship Id="rId19" Type="http://schemas.openxmlformats.org/officeDocument/2006/relationships/hyperlink" Target="http://utp.sberbank-ast.ru/AP/Notice/653/Requisites" TargetMode="External"/><Relationship Id="rId20" Type="http://schemas.openxmlformats.org/officeDocument/2006/relationships/header" Target="header1.xml"/><Relationship Id="rId21" Type="http://schemas.openxmlformats.org/officeDocument/2006/relationships/header" Target="header2.xml"/><Relationship Id="rId22" Type="http://schemas.openxmlformats.org/officeDocument/2006/relationships/numbering" Target="numbering.xml"/><Relationship Id="rId23" Type="http://schemas.openxmlformats.org/officeDocument/2006/relationships/fontTable" Target="fontTable.xml"/><Relationship Id="rId24" Type="http://schemas.openxmlformats.org/officeDocument/2006/relationships/settings" Target="settings.xml"/><Relationship Id="rId2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Application>LibreOffice/7.6.7.2$Linux_X86_64 LibreOffice_project/60$Build-2</Application>
  <AppVersion>15.0000</AppVersion>
  <Pages>38</Pages>
  <Words>11368</Words>
  <Characters>81463</Characters>
  <CharactersWithSpaces>92740</CharactersWithSpaces>
  <Paragraphs>560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2023-10-30T09:15:00Z</dcterms:created>
  <dc:creator>Tatyannikova</dc:creator>
  <dc:description/>
  <dc:language>ru-RU</dc:language>
  <cp:lastModifiedBy/>
  <dcterms:modified xsi:type="dcterms:W3CDTF">2025-07-11T16:16:57Z</dcterms:modified>
  <cp:revision>273</cp:revision>
  <dc:subject/>
  <dc:title>Департамент имущественных отношений администрации города Перми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