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18.07.2025 № 059-19-01-11-94</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04.09.2025 электронных аукционов на право заключения договоров аренды 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на право заключения договоров аренды земельных участков </w:t>
        <w:br/>
        <w:t xml:space="preserve">(далее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об организации проведения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18.07.2025 № 059-19-01-11-94.</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w:t>
        <w:br/>
        <w:t xml:space="preserve">(далее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право заключение договора аренды земельного участка: </w:t>
      </w:r>
      <w:r>
        <w:rPr>
          <w:bCs/>
        </w:rPr>
        <w:t xml:space="preserve">департамент земельных отношений администрации города Перми, местонахождение: 614015, </w:t>
        <w:br/>
        <w:t>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10530"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6"/>
        <w:gridCol w:w="3106"/>
        <w:gridCol w:w="6858"/>
      </w:tblGrid>
      <w:tr>
        <w:trPr>
          <w:trHeight w:val="877"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10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5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18 апреля 2025 г. № 21-01-08-3420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10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5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10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5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Ново-Гайвинская, з/у 97г</w:t>
            </w:r>
          </w:p>
        </w:tc>
      </w:tr>
      <w:tr>
        <w:trPr>
          <w:trHeight w:val="148"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5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1074 кв. м</w:t>
            </w:r>
          </w:p>
        </w:tc>
      </w:tr>
      <w:tr>
        <w:trPr>
          <w:trHeight w:val="155"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5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14:ligatures w14:val="none"/>
              </w:rPr>
            </w:pPr>
            <w:r>
              <w:rPr>
                <w:sz w:val="24"/>
                <w:szCs w:val="24"/>
              </w:rPr>
              <w:t>59:01:3210341:323</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5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5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rFonts w:eastAsia="TimesNewRomanPSMT"/>
                <w:sz w:val="24"/>
                <w:szCs w:val="24"/>
              </w:rPr>
              <w:t>склады (6.9)</w:t>
            </w:r>
          </w:p>
        </w:tc>
      </w:tr>
      <w:tr>
        <w:trPr>
          <w:trHeight w:val="576"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5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58" w:type="dxa"/>
            <w:tcBorders>
              <w:top w:val="single" w:sz="4" w:space="0" w:color="000000"/>
              <w:left w:val="single" w:sz="4" w:space="0" w:color="000000"/>
              <w:bottom w:val="single" w:sz="4" w:space="0" w:color="000000"/>
              <w:right w:val="single" w:sz="4" w:space="0" w:color="000000"/>
            </w:tcBorders>
          </w:tcPr>
          <w:p>
            <w:pPr>
              <w:pStyle w:val="Normal"/>
              <w:ind w:firstLine="311"/>
              <w:jc w:val="both"/>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от 15.07.2025г. No КУВИ-001/2025-139718382 </w:t>
            </w:r>
            <w:r>
              <w:rPr>
                <w:color w:val="auto"/>
                <w:sz w:val="24"/>
                <w:szCs w:val="24"/>
              </w:rPr>
              <w:t>(далее – ЕГРН)</w:t>
            </w:r>
            <w:r>
              <w:rPr>
                <w:sz w:val="24"/>
                <w:szCs w:val="24"/>
              </w:rPr>
              <w:t>;</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 xml:space="preserve">от 31.10.2022 № РФ-59-2-03-0-00-2022-1586 </w:t>
            </w:r>
            <w:r>
              <w:rPr>
                <w:color w:val="auto"/>
                <w:sz w:val="24"/>
                <w:szCs w:val="24"/>
              </w:rPr>
              <w:t xml:space="preserve"> (далее – ГПЗУ)</w:t>
            </w:r>
            <w:r>
              <w:rPr>
                <w:sz w:val="24"/>
                <w:szCs w:val="24"/>
              </w:rPr>
              <w:t>.</w:t>
            </w:r>
          </w:p>
          <w:p>
            <w:pPr>
              <w:pStyle w:val="BodyText"/>
              <w:ind w:firstLine="312"/>
              <w:jc w:val="both"/>
              <w:rPr>
                <w:color w:val="000000"/>
                <w:sz w:val="24"/>
              </w:rPr>
            </w:pPr>
            <w:r>
              <w:rPr>
                <w:color w:val="000000"/>
                <w:sz w:val="24"/>
              </w:rPr>
            </w:r>
          </w:p>
          <w:p>
            <w:pPr>
              <w:pStyle w:val="Normal"/>
              <w:spacing w:lineRule="auto" w:line="240" w:before="0" w:after="0"/>
              <w:ind w:firstLine="311"/>
              <w:jc w:val="both"/>
              <w:rPr>
                <w:rFonts w:ascii="Times New Roman" w:hAnsi="Times New Roman"/>
                <w:sz w:val="24"/>
                <w:szCs w:val="24"/>
              </w:rPr>
            </w:pPr>
            <w:r>
              <w:rPr>
                <w:sz w:val="24"/>
                <w:szCs w:val="24"/>
              </w:rPr>
              <w:t xml:space="preserve">В результате обследования Участка выявлено, что состояние рельефа Участка ровное. Участок по периметру ничем </w:t>
              <w:br/>
              <w:t xml:space="preserve">не огорожен. На Участке произрастают деревья </w:t>
              <w:br/>
              <w:t>и низкорослые кустарники, объекты капитального/некапитального строительства отсутствуют. Территория частично заасфальтирована. В южной части Участка расположен столб электропередач.</w:t>
            </w:r>
          </w:p>
          <w:p>
            <w:pPr>
              <w:pStyle w:val="Normal"/>
              <w:spacing w:lineRule="auto" w:line="240" w:before="0" w:after="0"/>
              <w:ind w:firstLine="311"/>
              <w:jc w:val="both"/>
              <w:rPr>
                <w:rFonts w:ascii="Times New Roman" w:hAnsi="Times New Roman"/>
                <w:sz w:val="24"/>
                <w:szCs w:val="24"/>
              </w:rPr>
            </w:pPr>
            <w:r>
              <w:rPr>
                <w:sz w:val="24"/>
                <w:szCs w:val="24"/>
              </w:rPr>
              <w:t xml:space="preserve">Согласно сведениям, предоставленным отделением надзорной деятельности и профилактической работы </w:t>
              <w:br/>
              <w:t xml:space="preserve">г. Перми по Орджоникидзевскому району 1 ОНПР </w:t>
              <w:br/>
              <w:t>по городу Перми УНПР Главного управления МЧС России по Пермскому краю, близлежащий пожарный водоем относительно вышеуказанного земельного участка расположен по следующим координатам 58.0880581 с.ш., 56.3095597 в.д.</w:t>
            </w:r>
          </w:p>
          <w:p>
            <w:pPr>
              <w:pStyle w:val="Normal"/>
              <w:spacing w:lineRule="auto" w:line="240" w:before="0" w:after="0"/>
              <w:ind w:firstLine="311"/>
              <w:jc w:val="both"/>
              <w:rPr>
                <w:rFonts w:ascii="Times New Roman" w:hAnsi="Times New Roman"/>
                <w:sz w:val="24"/>
                <w:szCs w:val="24"/>
              </w:rPr>
            </w:pPr>
            <w:r>
              <w:rPr>
                <w:sz w:val="24"/>
                <w:szCs w:val="24"/>
              </w:rPr>
              <w:t xml:space="preserve">(Аналогичная информация отражена в письме  </w:t>
            </w:r>
            <w:r>
              <w:rPr>
                <w:b/>
                <w:bCs/>
                <w:sz w:val="24"/>
                <w:szCs w:val="24"/>
              </w:rPr>
              <w:t>администрации Орджоникидзевского района города Перми</w:t>
            </w:r>
            <w:r>
              <w:rPr>
                <w:sz w:val="24"/>
                <w:szCs w:val="24"/>
              </w:rPr>
              <w:t xml:space="preserve"> от 15.04.2025 № 059-37-01-32/3-1812, в акте обследования земельного участка от 04.04.2025 № 31 ).</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rPr>
              <w:t>В соответствии с геодезической съемкой, выполненной в 2022 году, в границах Участка расположены сети электроснабжения. Частично в границах Участка расположен железобетонный забор.</w:t>
            </w:r>
          </w:p>
          <w:p>
            <w:pPr>
              <w:pStyle w:val="Normal"/>
              <w:spacing w:lineRule="auto" w:line="240" w:before="0" w:after="0"/>
              <w:ind w:firstLine="311"/>
              <w:jc w:val="both"/>
              <w:rPr>
                <w:rFonts w:ascii="Times New Roman" w:hAnsi="Times New Roman"/>
                <w:sz w:val="24"/>
                <w:szCs w:val="24"/>
              </w:rPr>
            </w:pPr>
            <w:r>
              <w:rPr>
                <w:sz w:val="24"/>
                <w:szCs w:val="24"/>
              </w:rPr>
              <w:t>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spacing w:lineRule="auto" w:line="240" w:before="0" w:after="0"/>
              <w:ind w:firstLine="311"/>
              <w:jc w:val="both"/>
              <w:rPr>
                <w:rFonts w:ascii="Times New Roman" w:hAnsi="Times New Roman"/>
                <w:sz w:val="24"/>
                <w:szCs w:val="24"/>
              </w:rPr>
            </w:pPr>
            <w:r>
              <w:rPr>
                <w:sz w:val="24"/>
                <w:szCs w:val="24"/>
              </w:rPr>
              <w:t>Учитывая, что сети электроснабжения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 и земельный участок может быть предметом аукциона.</w:t>
            </w:r>
          </w:p>
          <w:p>
            <w:pPr>
              <w:pStyle w:val="Normal"/>
              <w:spacing w:lineRule="auto" w:line="240" w:before="0" w:after="0"/>
              <w:ind w:firstLine="311"/>
              <w:jc w:val="both"/>
              <w:rPr>
                <w:rFonts w:ascii="Times New Roman" w:hAnsi="Times New Roman"/>
                <w:sz w:val="24"/>
                <w:szCs w:val="24"/>
              </w:rPr>
            </w:pPr>
            <w:r>
              <w:rPr>
                <w:sz w:val="24"/>
                <w:szCs w:val="24"/>
              </w:rPr>
              <w:t>Размещение объекта необходимо предусматривать строго за пределами охранных зон сетей электроснабжения в соответствии с нормами СП 42.13330.2016 «Градостроительство планировка и застройка городских и сельских поселений», в том числе в соответствии с таблицей 12.5 СП 42.13330.2016 «Градостроительство планировка и застройка городских и сельских поселений»; учитывать нормы постановления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311"/>
              <w:jc w:val="both"/>
              <w:rPr>
                <w:rFonts w:ascii="Times New Roman" w:hAnsi="Times New Roman"/>
                <w:sz w:val="24"/>
                <w:szCs w:val="24"/>
              </w:rPr>
            </w:pPr>
            <w:r>
              <w:rPr>
                <w:sz w:val="24"/>
                <w:szCs w:val="24"/>
              </w:rPr>
              <w:t xml:space="preserve">Согласно сведениям ЕГРН Участок не имеет связи </w:t>
              <w:br/>
              <w:t>с объектами капитального строительства.</w:t>
            </w:r>
          </w:p>
          <w:p>
            <w:pPr>
              <w:pStyle w:val="Normal"/>
              <w:spacing w:lineRule="auto" w:line="240" w:before="0" w:after="0"/>
              <w:ind w:firstLine="311"/>
              <w:jc w:val="both"/>
              <w:rPr>
                <w:rFonts w:ascii="Times New Roman" w:hAnsi="Times New Roman"/>
                <w:sz w:val="24"/>
                <w:szCs w:val="24"/>
              </w:rPr>
            </w:pPr>
            <w:r>
              <w:rPr>
                <w:sz w:val="24"/>
                <w:szCs w:val="24"/>
              </w:rPr>
              <w:t xml:space="preserve">Согласно сведениям, содержащимся в ГПЗУ и справке по градостроительным условиям участка от 15.07.2025 № </w:t>
            </w:r>
            <w:r>
              <w:rPr>
                <w:bCs/>
                <w:sz w:val="24"/>
                <w:szCs w:val="24"/>
              </w:rPr>
              <w:t>637876</w:t>
            </w:r>
            <w:r>
              <w:rPr>
                <w:sz w:val="24"/>
                <w:szCs w:val="24"/>
              </w:rPr>
              <w:t xml:space="preserve"> Участок расположен:</w:t>
            </w:r>
          </w:p>
          <w:p>
            <w:pPr>
              <w:pStyle w:val="Normal"/>
              <w:spacing w:lineRule="auto" w:line="240" w:before="0" w:after="0"/>
              <w:ind w:firstLine="311"/>
              <w:jc w:val="both"/>
              <w:rPr>
                <w:rFonts w:ascii="Times New Roman" w:hAnsi="Times New Roman"/>
                <w:sz w:val="24"/>
                <w:szCs w:val="24"/>
              </w:rPr>
            </w:pPr>
            <w:r>
              <w:rPr>
                <w:sz w:val="24"/>
                <w:szCs w:val="24"/>
              </w:rPr>
              <w:t>в границах зоны с особыми условиями использования территории Охранная зона транспорта «Зона с особыми условиями использования - Приаэродромная территория аэродрома аэропорта Большое Савино», 59:32-6.553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311"/>
              <w:jc w:val="both"/>
              <w:rPr>
                <w:rFonts w:ascii="Times New Roman" w:hAnsi="Times New Roman"/>
                <w:sz w:val="24"/>
                <w:szCs w:val="24"/>
              </w:rPr>
            </w:pPr>
            <w:r>
              <w:rPr>
                <w:sz w:val="24"/>
                <w:szCs w:val="24"/>
              </w:rPr>
              <w:t>в границах зоны с особыми условиями использования территории Зона санитарной охраны источников водоснабжения и водопроводов питьевого назначения «Третий пояс зоны санитарной охраны поверхностного водозабора АО «Пермский завод «Машиностроитель», 59:01-6.5841 (Постановление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 Приказ Министерства природных ресурсов, лесного хозяйства и экологии Пермского края от 15.05.2018 № СЭД-30-01-02-629 «Об утверждении проекта зон санитарной охраны поверхностного водозабора на Воткинском водохранилище на р. Кама АО «ПЗ «Машиностроитель»");</w:t>
            </w:r>
          </w:p>
          <w:p>
            <w:pPr>
              <w:pStyle w:val="Normal"/>
              <w:spacing w:lineRule="auto" w:line="240" w:before="0" w:after="0"/>
              <w:ind w:firstLine="311"/>
              <w:jc w:val="both"/>
              <w:rPr>
                <w:rFonts w:ascii="Times New Roman" w:hAnsi="Times New Roman"/>
                <w:sz w:val="24"/>
                <w:szCs w:val="24"/>
              </w:rPr>
            </w:pPr>
            <w:r>
              <w:rPr>
                <w:sz w:val="24"/>
                <w:szCs w:val="24"/>
              </w:rPr>
              <w:t xml:space="preserve">в границах зоны с особыми условиями использования территории Зона санитарной охраны источников водоснабжения и водопроводов питьевого назначения «Второй пояс зоны санитарной охраны поверхностного водозабора АО «Пермский завод «Машиностроитель», 59:01-6.5825 (Постановление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 Приказ Министерства природных ресурсов, лесного хозяйства и экологии Пермского края от 15.05.2018 № СЭД-30-01-02-629 «Об утверждении проекта зон санитарной охраны поверхностного водозабора </w:t>
              <w:br/>
              <w:t>на Воткинском водохранилище на р. Кама</w:t>
              <w:br/>
              <w:t>АО «ПЗ Машиностроитель»).</w:t>
            </w:r>
          </w:p>
          <w:p>
            <w:pPr>
              <w:pStyle w:val="Normal"/>
              <w:spacing w:lineRule="auto" w:line="240" w:before="0" w:after="0"/>
              <w:ind w:firstLine="311"/>
              <w:jc w:val="both"/>
              <w:rPr>
                <w:rFonts w:ascii="Times New Roman" w:hAnsi="Times New Roman"/>
                <w:b/>
                <w:sz w:val="24"/>
                <w:szCs w:val="24"/>
              </w:rPr>
            </w:pPr>
            <w:r>
              <w:rPr>
                <w:b/>
                <w:sz w:val="24"/>
                <w:szCs w:val="24"/>
              </w:rPr>
              <w:t>Запрещено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pPr>
              <w:pStyle w:val="Normal"/>
              <w:spacing w:lineRule="auto" w:line="240" w:before="0" w:after="0"/>
              <w:ind w:firstLine="311"/>
              <w:jc w:val="both"/>
              <w:rPr>
                <w:rFonts w:ascii="Times New Roman" w:hAnsi="Times New Roman"/>
                <w:sz w:val="24"/>
                <w:szCs w:val="24"/>
              </w:rPr>
            </w:pPr>
            <w:r>
              <w:rPr>
                <w:sz w:val="24"/>
                <w:szCs w:val="24"/>
              </w:rPr>
              <w:t>в границах зоны с особыми условиями использования территории Санитарно-защитная зона предприятий, сооружений и иных объектов «Логич СВ.», «Власов К.А.» (Постановление Администрации города Перми от 22.11.2005 № 2735 «Об утверждении перечней и проектов границ общих и индивидуальных санитарно-защитных зон промышленных предприятий и объектов, расположенных на территории города Перми»);</w:t>
            </w:r>
          </w:p>
          <w:p>
            <w:pPr>
              <w:pStyle w:val="Normal"/>
              <w:spacing w:lineRule="auto" w:line="240" w:before="0" w:after="0"/>
              <w:ind w:firstLine="311"/>
              <w:jc w:val="both"/>
              <w:rPr>
                <w:rFonts w:ascii="Times New Roman" w:hAnsi="Times New Roman"/>
                <w:sz w:val="24"/>
                <w:szCs w:val="24"/>
              </w:rPr>
            </w:pPr>
            <w:r>
              <w:rPr>
                <w:sz w:val="24"/>
                <w:szCs w:val="24"/>
              </w:rPr>
              <w:t>в границах зоны с особыми условиями использования территории Зона затопления территорий,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(Приказ Камского бассейнового водного управления Федерального агентства водных ресурсов от 21.11.2022 № 239 «Об установлении границ зон затопления на территориях,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Ограничения использования объектов недвижимости в соответствии с частью 3 статьи 67.1 Водного кодекса РФ).</w:t>
            </w:r>
          </w:p>
          <w:p>
            <w:pPr>
              <w:pStyle w:val="Normal"/>
              <w:spacing w:lineRule="auto" w:line="240" w:before="0" w:after="0"/>
              <w:ind w:firstLine="452"/>
              <w:jc w:val="both"/>
              <w:rPr>
                <w:rFonts w:ascii="Times New Roman" w:hAnsi="Times New Roman"/>
                <w:b/>
                <w:sz w:val="24"/>
                <w:szCs w:val="24"/>
              </w:rPr>
            </w:pPr>
            <w:r>
              <w:rPr>
                <w:b/>
                <w:sz w:val="24"/>
                <w:szCs w:val="24"/>
              </w:rPr>
              <w:t>Запрещено:</w:t>
            </w:r>
          </w:p>
          <w:p>
            <w:pPr>
              <w:pStyle w:val="Normal"/>
              <w:spacing w:lineRule="auto" w:line="240" w:before="0" w:after="0"/>
              <w:ind w:firstLine="452"/>
              <w:jc w:val="both"/>
              <w:rPr>
                <w:rFonts w:ascii="Times New Roman" w:hAnsi="Times New Roman"/>
                <w:b/>
                <w:sz w:val="24"/>
                <w:szCs w:val="24"/>
              </w:rPr>
            </w:pPr>
            <w:r>
              <w:rPr>
                <w:b/>
                <w:sz w:val="24"/>
                <w:szCs w:val="24"/>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pPr>
              <w:pStyle w:val="Normal"/>
              <w:spacing w:lineRule="auto" w:line="240" w:before="0" w:after="0"/>
              <w:ind w:firstLine="452"/>
              <w:jc w:val="both"/>
              <w:rPr>
                <w:rFonts w:ascii="Times New Roman" w:hAnsi="Times New Roman"/>
                <w:sz w:val="24"/>
                <w:szCs w:val="24"/>
              </w:rPr>
            </w:pPr>
            <w:r>
              <w:rPr>
                <w:sz w:val="24"/>
                <w:szCs w:val="24"/>
              </w:rPr>
              <w:t>использование сточных вод в целях повышения почвенного плодородия;</w:t>
            </w:r>
          </w:p>
          <w:p>
            <w:pPr>
              <w:pStyle w:val="Normal"/>
              <w:spacing w:lineRule="auto" w:line="240" w:before="0" w:after="0"/>
              <w:ind w:firstLine="452"/>
              <w:jc w:val="both"/>
              <w:rPr>
                <w:rFonts w:ascii="Times New Roman" w:hAnsi="Times New Roman"/>
                <w:b/>
                <w:sz w:val="24"/>
                <w:szCs w:val="24"/>
              </w:rPr>
            </w:pPr>
            <w:r>
              <w:rPr>
                <w:sz w:val="24"/>
                <w:szCs w:val="24"/>
              </w:rPr>
              <w:t xml:space="preserve">размещение кладбищ, скотомогильников, </w:t>
            </w:r>
            <w:r>
              <w:rPr>
                <w:b/>
                <w:sz w:val="24"/>
                <w:szCs w:val="24"/>
              </w:rPr>
              <w:t>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pPr>
              <w:pStyle w:val="Normal"/>
              <w:spacing w:lineRule="auto" w:line="240" w:before="0" w:after="0"/>
              <w:ind w:firstLine="452"/>
              <w:jc w:val="both"/>
              <w:rPr>
                <w:rFonts w:ascii="Times New Roman" w:hAnsi="Times New Roman"/>
                <w:sz w:val="24"/>
                <w:szCs w:val="24"/>
              </w:rPr>
            </w:pPr>
            <w:r>
              <w:rPr>
                <w:color w:val="000000"/>
                <w:sz w:val="24"/>
                <w:szCs w:val="24"/>
              </w:rPr>
              <w:t>осуществление авиационных мер по борьбе</w:t>
              <w:br/>
              <w:t>с вредными организмами.</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Победителю аукциона необходимо соблюдать условия строительства, указанные в письме (прилагается).</w:t>
            </w:r>
          </w:p>
          <w:p>
            <w:pPr>
              <w:pStyle w:val="Normal"/>
              <w:spacing w:lineRule="auto" w:line="240" w:before="0" w:after="0"/>
              <w:ind w:firstLine="452"/>
              <w:jc w:val="both"/>
              <w:rPr>
                <w:rFonts w:ascii="Times New Roman" w:hAnsi="Times New Roman"/>
                <w:sz w:val="24"/>
                <w:szCs w:val="24"/>
              </w:rPr>
            </w:pPr>
            <w:r>
              <w:rPr>
                <w:sz w:val="24"/>
                <w:szCs w:val="24"/>
              </w:rPr>
              <w:t>На Участке произрастает 25 деревьев породы – береза 8 шт., ель 5 шт., ива 9 шт., яблоня 3 шт.</w:t>
            </w:r>
          </w:p>
          <w:p>
            <w:pPr>
              <w:pStyle w:val="Normal"/>
              <w:spacing w:lineRule="auto" w:line="240" w:before="0" w:after="0"/>
              <w:ind w:firstLine="452"/>
              <w:jc w:val="both"/>
              <w:rPr>
                <w:rFonts w:ascii="Times New Roman" w:hAnsi="Times New Roman"/>
                <w:sz w:val="24"/>
                <w:szCs w:val="24"/>
              </w:rPr>
            </w:pPr>
            <w:r>
              <w:rPr>
                <w:sz w:val="24"/>
                <w:szCs w:val="24"/>
              </w:rPr>
              <w:t>Восстановительную стоимость сноса зеленых насаждений посчитать не представляется возможным, так как неизвестно пятно застройки и количество сносимых зеленых насаждений.</w:t>
            </w:r>
          </w:p>
          <w:p>
            <w:pPr>
              <w:pStyle w:val="Normal"/>
              <w:spacing w:lineRule="auto" w:line="240" w:before="0" w:after="0"/>
              <w:ind w:firstLine="452"/>
              <w:jc w:val="both"/>
              <w:rPr>
                <w:rFonts w:ascii="Times New Roman" w:hAnsi="Times New Roman"/>
                <w:sz w:val="24"/>
                <w:szCs w:val="24"/>
              </w:rPr>
            </w:pPr>
            <w:r>
              <w:rPr>
                <w:sz w:val="24"/>
                <w:szCs w:val="24"/>
              </w:rPr>
              <w:t>Средняя стоимость в ценах 2025 г. одного дерева лиственной породы от 25 тыс. руб., а хвойной – от 30 тыс. руб.</w:t>
            </w:r>
          </w:p>
          <w:p>
            <w:pPr>
              <w:pStyle w:val="Normal"/>
              <w:spacing w:lineRule="auto" w:line="240" w:before="0" w:after="0"/>
              <w:ind w:firstLine="311"/>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управления по экологии и природопользованию администрации города Перми </w:t>
            </w:r>
            <w:r>
              <w:rPr>
                <w:sz w:val="24"/>
                <w:szCs w:val="24"/>
              </w:rPr>
              <w:t>от 31.10.2022 № 059-33-01-10/3-816).</w:t>
            </w:r>
          </w:p>
          <w:p>
            <w:pPr>
              <w:pStyle w:val="Normal"/>
              <w:spacing w:lineRule="auto" w:line="240" w:before="0" w:after="0"/>
              <w:ind w:firstLine="311"/>
              <w:jc w:val="both"/>
              <w:rPr>
                <w:rFonts w:ascii="Times New Roman" w:hAnsi="Times New Roman"/>
                <w:sz w:val="24"/>
                <w:szCs w:val="24"/>
              </w:rPr>
            </w:pPr>
            <w:r>
              <w:rPr>
                <w:sz w:val="24"/>
                <w:szCs w:val="24"/>
              </w:rPr>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запланированы.</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мероприятия, указанные в настоящем письме.</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Также указывается на необходимость соблюдать Правила благоустройства территории города Перми, утвержденные решением Пермской городской Думы от 15.12.2020 № 277, при строительстве объектов недвижимости.</w:t>
            </w:r>
          </w:p>
          <w:p>
            <w:pPr>
              <w:pStyle w:val="Normal"/>
              <w:tabs>
                <w:tab w:val="clear" w:pos="708"/>
                <w:tab w:val="left" w:pos="557" w:leader="none"/>
              </w:tabs>
              <w:spacing w:lineRule="auto" w:line="240" w:before="0" w:after="0"/>
              <w:ind w:firstLine="594"/>
              <w:jc w:val="both"/>
              <w:rPr>
                <w:rFonts w:ascii="Times New Roman" w:hAnsi="Times New Roman"/>
                <w:sz w:val="24"/>
                <w:szCs w:val="24"/>
              </w:rPr>
            </w:pPr>
            <w:r>
              <w:rPr>
                <w:sz w:val="24"/>
                <w:szCs w:val="24"/>
              </w:rPr>
              <w:t>Для сведения сообщается, что в соответствии</w:t>
              <w:br/>
              <w:t xml:space="preserve">с Федеральным законом от 08.11.2007 № 257-ФЗ </w:t>
              <w:br/>
              <w:t>«Об автомобильных дорогах и о дорожной деятельности в Российской Федерации и о внесении изменений</w:t>
              <w:br/>
              <w:t xml:space="preserve">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w:t>
              <w:br/>
              <w:t>или примыканий.</w:t>
            </w:r>
          </w:p>
          <w:p>
            <w:pPr>
              <w:pStyle w:val="Normal"/>
              <w:spacing w:lineRule="auto" w:line="240" w:before="0" w:after="0"/>
              <w:ind w:firstLine="311"/>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департамента дорог и благоустройства администрации города Перми от </w:t>
            </w:r>
            <w:r>
              <w:rPr>
                <w:sz w:val="24"/>
                <w:szCs w:val="24"/>
              </w:rPr>
              <w:t>07.04.2025 № 059-24-01-36/3-1141).</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Строительство пожарного водоема на указанной территории не запланировано.</w:t>
            </w:r>
          </w:p>
          <w:p>
            <w:pPr>
              <w:pStyle w:val="Normal"/>
              <w:spacing w:lineRule="auto" w:line="240" w:before="0" w:after="0"/>
              <w:ind w:firstLine="452"/>
              <w:jc w:val="both"/>
              <w:rPr>
                <w:rFonts w:ascii="Times New Roman" w:hAnsi="Times New Roman"/>
                <w:sz w:val="24"/>
                <w:szCs w:val="24"/>
              </w:rPr>
            </w:pPr>
            <w:r>
              <w:rPr>
                <w:sz w:val="24"/>
                <w:szCs w:val="24"/>
              </w:rPr>
              <w:t>Ближайшее подразделение пожарной охраны расположено по адресу: ул. Васнецова, 7 (ПСЧ-7 10-ПСО).</w:t>
            </w:r>
          </w:p>
          <w:p>
            <w:pPr>
              <w:pStyle w:val="Normal"/>
              <w:spacing w:lineRule="auto" w:line="240" w:before="0" w:after="0"/>
              <w:ind w:firstLine="452"/>
              <w:jc w:val="both"/>
              <w:rPr>
                <w:rFonts w:ascii="Times New Roman" w:hAnsi="Times New Roman"/>
                <w:sz w:val="24"/>
                <w:szCs w:val="24"/>
              </w:rPr>
            </w:pPr>
            <w:r>
              <w:rPr>
                <w:sz w:val="24"/>
                <w:szCs w:val="24"/>
              </w:rPr>
              <w:t xml:space="preserve">Объект общественной безопасности, отнесенный </w:t>
              <w:br/>
              <w:t xml:space="preserve">к объектам полиции (участковые пункты полиции), </w:t>
              <w:br/>
              <w:t>в данном микрорайоне расположен по адресу: г. Пермь, ул. Никитина, д. 18 (микрорайон Гайва, Орджоникидзевский район). В настоящее время отсутствует потребность в обеспечении служебными помещениями участковых уполномоченных полиции в указанном микрорайоне, строительство (приобретение) в настоящее время не планируется.</w:t>
            </w:r>
          </w:p>
          <w:p>
            <w:pPr>
              <w:pStyle w:val="Normal"/>
              <w:spacing w:lineRule="auto" w:line="240" w:before="0" w:after="0"/>
              <w:ind w:firstLine="452"/>
              <w:jc w:val="both"/>
              <w:rPr>
                <w:rFonts w:ascii="Times New Roman" w:hAnsi="Times New Roman"/>
                <w:sz w:val="24"/>
                <w:szCs w:val="24"/>
              </w:rPr>
            </w:pPr>
            <w:r>
              <w:rPr>
                <w:sz w:val="24"/>
                <w:szCs w:val="24"/>
              </w:rPr>
              <w:t>Помещения для аварийно-спасательных формирований на указанной территории отсутствуют. В настоящее время потребность в обеспечении служебными помещениями для аварийно-спасательных формирований в указанном микрорайоне отсутствует.</w:t>
            </w:r>
          </w:p>
          <w:p>
            <w:pPr>
              <w:pStyle w:val="Normal"/>
              <w:spacing w:lineRule="auto" w:line="240" w:before="0" w:after="0"/>
              <w:ind w:firstLine="452"/>
              <w:jc w:val="both"/>
              <w:rPr>
                <w:rFonts w:ascii="Times New Roman" w:hAnsi="Times New Roman"/>
                <w:sz w:val="24"/>
                <w:szCs w:val="24"/>
              </w:rPr>
            </w:pPr>
            <w:r>
              <w:rPr>
                <w:sz w:val="24"/>
                <w:szCs w:val="24"/>
              </w:rPr>
              <w:t>На указанной территории источники противопожарного водоснабжения отсутствуют.</w:t>
            </w:r>
          </w:p>
          <w:p>
            <w:pPr>
              <w:pStyle w:val="Normal"/>
              <w:spacing w:lineRule="auto" w:line="240" w:before="0" w:after="0"/>
              <w:ind w:firstLine="452"/>
              <w:jc w:val="both"/>
              <w:rPr>
                <w:rFonts w:ascii="Times New Roman" w:hAnsi="Times New Roman"/>
                <w:sz w:val="24"/>
                <w:szCs w:val="24"/>
              </w:rPr>
            </w:pPr>
            <w:r>
              <w:rPr>
                <w:sz w:val="24"/>
                <w:szCs w:val="24"/>
              </w:rPr>
              <w:t xml:space="preserve">При планировке и размещении объектов </w:t>
              <w:br/>
              <w:t>на вышеуказанной территории, необходимо соблюдать нормы и требования действующего законодательства: федеральных законов от 21 декабря 1994 г. № 69-ФЗ</w:t>
              <w:br/>
              <w:t xml:space="preserve">«О пожарной безопасности» и от 22 июля 2008 г. </w:t>
              <w:br/>
              <w:t>№ 123-ФЗ «Технический регламент о требованиях пожарной безопасности»,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452"/>
              <w:jc w:val="both"/>
              <w:rPr>
                <w:rFonts w:ascii="Times New Roman" w:hAnsi="Times New Roman"/>
                <w:sz w:val="24"/>
                <w:szCs w:val="24"/>
              </w:rPr>
            </w:pPr>
            <w:r>
              <w:rPr>
                <w:sz w:val="24"/>
                <w:szCs w:val="24"/>
              </w:rPr>
              <w:t>Согласно информации, предоставленной Министерством территориальной безопасности Пермского края, Участок в особый период попадает в зону возможного химического заражения.</w:t>
            </w:r>
          </w:p>
          <w:p>
            <w:pPr>
              <w:pStyle w:val="Normal"/>
              <w:spacing w:lineRule="auto" w:line="240" w:before="0" w:after="0"/>
              <w:ind w:firstLine="452"/>
              <w:jc w:val="both"/>
              <w:rPr>
                <w:rFonts w:ascii="Times New Roman" w:hAnsi="Times New Roman"/>
                <w:sz w:val="24"/>
                <w:szCs w:val="24"/>
              </w:rPr>
            </w:pPr>
            <w:r>
              <w:rPr>
                <w:sz w:val="24"/>
                <w:szCs w:val="24"/>
              </w:rPr>
              <w:t>Объекты гражданской обороны на указанной территории отсутствуют. Планом гражданской обороны строительство объектов гражданской обороны не предусмотрено.</w:t>
            </w:r>
          </w:p>
          <w:p>
            <w:pPr>
              <w:pStyle w:val="Normal"/>
              <w:spacing w:lineRule="auto" w:line="240" w:before="0" w:after="0"/>
              <w:ind w:firstLine="452"/>
              <w:jc w:val="both"/>
              <w:rPr>
                <w:rFonts w:ascii="Times New Roman" w:hAnsi="Times New Roman"/>
                <w:sz w:val="24"/>
                <w:szCs w:val="24"/>
              </w:rPr>
            </w:pPr>
            <w:r>
              <w:rPr>
                <w:sz w:val="24"/>
                <w:szCs w:val="24"/>
              </w:rPr>
              <w:t>В связи с тем, что территория не попадает в зону действия региональной автоматизированной системы централизованного оповещения населения города Перми, необходимо предусмотреть размещение дополнительных сиренно-речевых узлов системы оповещения, согласно пунктам 6.38, 6.39</w:t>
              <w:br/>
              <w:t>СП 165.1325800.2014 «Свод правил. Инженерно-технические мероприятия по гражданской обороне. Актуализированная редакция СНиП 2.01.51-90».</w:t>
            </w:r>
          </w:p>
          <w:p>
            <w:pPr>
              <w:pStyle w:val="Normal"/>
              <w:spacing w:lineRule="auto" w:line="240" w:before="0" w:after="0"/>
              <w:ind w:firstLine="311"/>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департамента общественной безопасности администрации города Перми </w:t>
            </w:r>
            <w:r>
              <w:rPr>
                <w:sz w:val="24"/>
                <w:szCs w:val="24"/>
              </w:rPr>
              <w:t>от 20.10.2022 № 059-10-01-27/3-1624).</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color w:val="000000"/>
                <w:sz w:val="24"/>
                <w:szCs w:val="24"/>
              </w:rPr>
              <w:t xml:space="preserve">Согласно </w:t>
            </w:r>
            <w:r>
              <w:rPr>
                <w:b/>
                <w:color w:val="000000"/>
                <w:sz w:val="24"/>
                <w:szCs w:val="24"/>
              </w:rPr>
              <w:t xml:space="preserve">протоколу заседания координационного совещания по обеспечению правопорядка в Пермском крае от 16.03.2022 №74-гс </w:t>
            </w:r>
            <w:r>
              <w:rPr>
                <w:color w:val="000000"/>
                <w:sz w:val="24"/>
                <w:szCs w:val="24"/>
              </w:rPr>
              <w:t>для строительства объектов городской инфраструктуры (парков, скверов, торгово-развлекательных комплексов, иных зданий и сооружений) обязательным является условие по установке камер видеонаблюдения.</w:t>
            </w:r>
          </w:p>
        </w:tc>
      </w:tr>
      <w:tr>
        <w:trPr>
          <w:trHeight w:val="1087"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5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spacing w:lineRule="auto" w:line="240" w:before="0" w:after="0"/>
              <w:ind w:firstLine="311"/>
              <w:jc w:val="both"/>
              <w:rPr/>
            </w:pPr>
            <w:r>
              <w:rPr>
                <w:sz w:val="24"/>
                <w:szCs w:val="24"/>
              </w:rPr>
              <w:t>Согласно информации, содержащейся в градостроительном плане от 31.10.2022 № РФ-59-2-03-0-00-2022-1586 (далее – ГПЗУ) 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pPr>
            <w:r>
              <w:rPr>
                <w:sz w:val="24"/>
                <w:szCs w:val="24"/>
              </w:rPr>
              <w:t xml:space="preserve">Максимальный класс опасности (в соответствии </w:t>
              <w:br/>
              <w:t>с санитарно-эпидемиологическими правилами) объектов капитального строительства, размещаемых на земельных участках –IV.</w:t>
            </w:r>
          </w:p>
          <w:p>
            <w:pPr>
              <w:pStyle w:val="Normal"/>
              <w:spacing w:lineRule="auto" w:line="240" w:before="0" w:after="0"/>
              <w:ind w:firstLine="311"/>
              <w:jc w:val="both"/>
              <w:rPr/>
            </w:pPr>
            <w:r>
              <w:rPr>
                <w:sz w:val="24"/>
                <w:szCs w:val="24"/>
              </w:rPr>
              <w:t>Минимальный отступ от границ земельного участка до места допустимого размещения зданий, строений – 0 м. Предельное количество этажей и (или) предельная высота зданий, строений –без ограничений.</w:t>
            </w:r>
          </w:p>
          <w:p>
            <w:pPr>
              <w:pStyle w:val="Normal"/>
              <w:spacing w:lineRule="auto" w:line="240" w:before="0" w:after="0"/>
              <w:ind w:firstLine="311"/>
              <w:jc w:val="both"/>
              <w:rPr/>
            </w:pPr>
            <w:r>
              <w:rPr>
                <w:sz w:val="24"/>
                <w:szCs w:val="24"/>
              </w:rPr>
              <w:t>Максимальный процент застройки в границах земельного участка, определяемый как отношений суммарной площади земельного участка, которая может быть застроена, ко всей площади земельного участка – без ограничений.</w:t>
            </w:r>
          </w:p>
          <w:p>
            <w:pPr>
              <w:pStyle w:val="Normal"/>
              <w:spacing w:lineRule="auto" w:line="240" w:before="0" w:after="0"/>
              <w:ind w:firstLine="311"/>
              <w:jc w:val="both"/>
              <w:rPr/>
            </w:pPr>
            <w:r>
              <w:rPr>
                <w:sz w:val="24"/>
                <w:szCs w:val="24"/>
              </w:rPr>
              <w:t>В соответствии с таблицей Б.1 «Показатели плотности застройки участков территориальных зон»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земельного участка в коммунально-складской зоне составляет 1,8.</w:t>
            </w:r>
          </w:p>
          <w:p>
            <w:pPr>
              <w:pStyle w:val="Normal"/>
              <w:spacing w:lineRule="auto" w:line="240" w:before="0" w:after="0"/>
              <w:ind w:firstLine="311"/>
              <w:jc w:val="both"/>
              <w:rPr/>
            </w:pPr>
            <w:r>
              <w:rPr>
                <w:sz w:val="24"/>
                <w:szCs w:val="24"/>
              </w:rPr>
              <w:t xml:space="preserve">Таким образом, предельные параметры разрешенного строительства на Участке составляют 1933,2 кв. м </w:t>
              <w:br/>
              <w:t>(1074 кв. м х 1,8).</w:t>
            </w:r>
          </w:p>
          <w:p>
            <w:pPr>
              <w:pStyle w:val="Normal"/>
              <w:spacing w:lineRule="auto" w:line="240" w:before="0" w:after="0"/>
              <w:ind w:firstLine="311"/>
              <w:jc w:val="both"/>
              <w:rPr>
                <w:rFonts w:ascii="Times New Roman" w:hAnsi="Times New Roman"/>
                <w:sz w:val="24"/>
                <w:szCs w:val="24"/>
              </w:rPr>
            </w:pPr>
            <w:r>
              <w:rPr>
                <w:sz w:val="24"/>
                <w:szCs w:val="24"/>
              </w:rPr>
              <w:t>В соответствии с приложением Г «Площадь и размеры земельных участков складов» СП 42.13330.2016. Свод правил. Градостроительство. Планировка и застройка городских и сельских поселений. Актуализированная редакция СНиП 2.07.01-89* минимальная площадь склада на Участке для складов непродовольственных товаров составляет: 315 кв. м для одноэтажных объектов капитального строительства, 476 кв. м для многоэтажных объектов капитального строительства.</w:t>
            </w:r>
          </w:p>
          <w:p>
            <w:pPr>
              <w:pStyle w:val="Normal"/>
              <w:ind w:firstLine="311"/>
              <w:jc w:val="both"/>
              <w:rPr>
                <w:sz w:val="24"/>
                <w:szCs w:val="24"/>
              </w:rPr>
            </w:pPr>
            <w:r>
              <w:rPr>
                <w:sz w:val="24"/>
                <w:szCs w:val="24"/>
              </w:rPr>
              <w:t xml:space="preserve">В соответствии с пунктом 2.1.34. Решения Пермской городской Думы от 15.12.2020 № 277 «Об утверждении Правил благоустройства территории города Перми» при проектировании и строительстве объекта капитального строительства необходимо соблюдать требования </w:t>
            </w:r>
            <w:r>
              <w:rPr>
                <w:sz w:val="24"/>
                <w:szCs w:val="24"/>
              </w:rPr>
              <w:br w:type="textWrapping" w:clear="all"/>
            </w:r>
            <w:r>
              <w:rPr>
                <w:sz w:val="24"/>
                <w:szCs w:val="24"/>
              </w:rPr>
              <w:t>по разработке паспорта внешнего облика объекта капитального строительства (колерный паспорт).</w:t>
            </w:r>
          </w:p>
          <w:p>
            <w:pPr>
              <w:pStyle w:val="Normal"/>
              <w:ind w:firstLine="311"/>
              <w:jc w:val="both"/>
              <w:rPr>
                <w:sz w:val="24"/>
                <w:szCs w:val="24"/>
              </w:rPr>
            </w:pPr>
            <w:r>
              <w:rPr>
                <w:sz w:val="24"/>
                <w:szCs w:val="24"/>
              </w:rPr>
              <w:t xml:space="preserve">Колерный паспорт - документ, разрабатываемый </w:t>
            </w:r>
            <w:r>
              <w:rPr>
                <w:sz w:val="24"/>
                <w:szCs w:val="24"/>
              </w:rPr>
              <w:br w:type="textWrapping" w:clear="all"/>
            </w:r>
            <w:r>
              <w:rPr>
                <w:sz w:val="24"/>
                <w:szCs w:val="24"/>
              </w:rPr>
              <w:t xml:space="preserve">в случаях, предусмотренных действующим законодательством, Правилами, для фасада здания, строения, сооружения при планируемом строительстве, реконструкции, капитальном ремонте, реставрации, приспособлении объекта культурного наследия </w:t>
            </w:r>
            <w:r>
              <w:rPr>
                <w:spacing w:val="-4"/>
                <w:sz w:val="24"/>
                <w:szCs w:val="24"/>
              </w:rPr>
              <w:t xml:space="preserve">для современного использования, а также при изменении внешнего вида здания, строения, сооружения, который устанавливает внешний облик (вид) фасада здания, строения, сооружения, включая требования </w:t>
            </w:r>
            <w:r>
              <w:rPr>
                <w:sz w:val="24"/>
                <w:szCs w:val="24"/>
              </w:rPr>
              <w:t xml:space="preserve">в отношении материалов, способов отделки и цветов фасадов, ограждающих конструкций (крыш (кровельного покрытия), ограждений балконов, лоджий), мест для размещения средств размещения информации (вывесок, указателей с наименованиями улиц </w:t>
            </w:r>
            <w:r>
              <w:rPr>
                <w:sz w:val="24"/>
                <w:szCs w:val="24"/>
              </w:rPr>
              <w:br w:type="textWrapping" w:clear="all"/>
            </w:r>
            <w:r>
              <w:rPr>
                <w:sz w:val="24"/>
                <w:szCs w:val="24"/>
              </w:rPr>
              <w:t xml:space="preserve">и номерами домов (зданий)), рекламных конструкций, </w:t>
            </w:r>
            <w:r>
              <w:rPr>
                <w:sz w:val="24"/>
                <w:szCs w:val="24"/>
              </w:rPr>
              <w:br w:type="textWrapping" w:clear="all"/>
            </w:r>
            <w:r>
              <w:rPr>
                <w:sz w:val="24"/>
                <w:szCs w:val="24"/>
              </w:rPr>
              <w:t>а также мест для размещения, вида, цветового решения архитектурно-художественной подсветки.</w:t>
            </w:r>
          </w:p>
          <w:p>
            <w:pPr>
              <w:pStyle w:val="Normal"/>
              <w:ind w:firstLine="311"/>
              <w:jc w:val="both"/>
              <w:rPr>
                <w:sz w:val="24"/>
                <w:szCs w:val="24"/>
              </w:rPr>
            </w:pPr>
            <w:r>
              <w:rPr>
                <w:sz w:val="24"/>
                <w:szCs w:val="24"/>
              </w:rPr>
              <w:t xml:space="preserve">Колерный паспорт подлежит согласованию </w:t>
            </w:r>
            <w:r>
              <w:rPr>
                <w:sz w:val="24"/>
                <w:szCs w:val="24"/>
              </w:rPr>
              <w:br w:type="textWrapping" w:clear="all"/>
            </w:r>
            <w:r>
              <w:rPr>
                <w:sz w:val="24"/>
                <w:szCs w:val="24"/>
              </w:rPr>
              <w:t>с функциональным органом администрации города Перми, осуществляющим функции управления в сфере градостроительства.</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58"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Техническая возможность технологического присоединения к электросетям филиала объекта капитального строительства, планируемого на Участке, с предполагаемой максимальной мощностью 232 кВт имеется.</w:t>
            </w:r>
          </w:p>
          <w:p>
            <w:pPr>
              <w:pStyle w:val="Normal"/>
              <w:spacing w:lineRule="auto" w:line="240" w:before="0" w:after="0"/>
              <w:ind w:firstLine="452"/>
              <w:jc w:val="both"/>
              <w:rPr>
                <w:rFonts w:ascii="Times New Roman" w:hAnsi="Times New Roman"/>
                <w:sz w:val="24"/>
                <w:szCs w:val="24"/>
              </w:rPr>
            </w:pPr>
            <w:r>
              <w:rPr>
                <w:sz w:val="24"/>
                <w:szCs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hyperlink r:id="rId10" w:tgtFrame="https://портал-тп.рф">
              <w:r>
                <w:rPr>
                  <w:rStyle w:val="ListLabel54"/>
                  <w:color w:val="0000FF"/>
                  <w:sz w:val="24"/>
                  <w:szCs w:val="24"/>
                  <w:u w:val="single"/>
                  <w:lang w:val="en-US"/>
                </w:rPr>
                <w:t>https</w:t>
              </w:r>
              <w:r>
                <w:rPr>
                  <w:rStyle w:val="ListLabel54"/>
                  <w:color w:val="0000FF"/>
                  <w:sz w:val="24"/>
                  <w:szCs w:val="24"/>
                  <w:u w:val="single"/>
                </w:rPr>
                <w:t>://портал-тп.рф</w:t>
              </w:r>
            </w:hyperlink>
            <w:r>
              <w:rPr>
                <w:sz w:val="24"/>
                <w:szCs w:val="24"/>
              </w:rPr>
              <w:t xml:space="preserve"> или через Мобильное приложение ПАО «Россети».</w:t>
            </w:r>
          </w:p>
          <w:p>
            <w:pPr>
              <w:pStyle w:val="Normal"/>
              <w:spacing w:lineRule="auto" w:line="240" w:before="0" w:after="0"/>
              <w:ind w:firstLine="311"/>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ОАО «МРСК Урала» - филиала «Пермэнерго»</w:t>
            </w:r>
            <w:r>
              <w:rPr>
                <w:sz w:val="24"/>
                <w:szCs w:val="24"/>
              </w:rPr>
              <w:t xml:space="preserve"> (в наст. время ПАО «Россети») от 31.10.2022 № ПЭ/22/1551).</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Техническая возможность подключения объекта капитального строительства с планируемым объемом потребления газа 4 куб.м/час к существующим сетям газораспределения имеется.</w:t>
            </w:r>
          </w:p>
          <w:p>
            <w:pPr>
              <w:pStyle w:val="Normal"/>
              <w:spacing w:lineRule="auto" w:line="240" w:before="0" w:after="0"/>
              <w:ind w:firstLine="311"/>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АО «Газпром газораспределение Пермь»</w:t>
            </w:r>
            <w:r>
              <w:rPr>
                <w:sz w:val="24"/>
                <w:szCs w:val="24"/>
              </w:rPr>
              <w:t>от 18.10.2022 № ПФ-7098).</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О возможности подключения планируемого к строительству объекта на Участке с предполагаемыми объемами водопотребления и водоотведения – 1,0 м</w:t>
            </w:r>
            <w:r>
              <w:rPr>
                <w:sz w:val="24"/>
                <w:szCs w:val="24"/>
                <w:vertAlign w:val="superscript"/>
              </w:rPr>
              <w:t>3</w:t>
            </w:r>
            <w:r>
              <w:rPr>
                <w:sz w:val="24"/>
                <w:szCs w:val="24"/>
              </w:rPr>
              <w:t>/сут., расходом воды на наружное пожаротушение 15 л/сек, сообщается, что при проведении оценочного расчета подключения вышеуказанного объекта к сетям водопровода и канализации установлено наличие технической возможности подключения объекта к централизованным системам водоснабжения и водоотведения.</w:t>
            </w:r>
          </w:p>
          <w:p>
            <w:pPr>
              <w:pStyle w:val="Normal"/>
              <w:spacing w:lineRule="auto" w:line="240" w:before="0" w:after="0"/>
              <w:ind w:firstLine="452"/>
              <w:jc w:val="both"/>
              <w:rPr>
                <w:rFonts w:ascii="Times New Roman" w:hAnsi="Times New Roman"/>
                <w:sz w:val="24"/>
                <w:szCs w:val="24"/>
              </w:rPr>
            </w:pPr>
            <w:r>
              <w:rPr>
                <w:sz w:val="24"/>
                <w:szCs w:val="24"/>
              </w:rPr>
              <w:t>Для возможности подключения Объекта необходимо выполнить мероприятия по ликвидации технологических разрывов по сетям водопровода и канализации, указанные в настоящем письме.</w:t>
            </w:r>
          </w:p>
          <w:p>
            <w:pPr>
              <w:pStyle w:val="Normal"/>
              <w:spacing w:lineRule="auto" w:line="240" w:before="0" w:after="0"/>
              <w:ind w:firstLine="452"/>
              <w:jc w:val="both"/>
              <w:rPr>
                <w:rFonts w:ascii="Times New Roman" w:hAnsi="Times New Roman"/>
                <w:sz w:val="24"/>
                <w:szCs w:val="24"/>
              </w:rPr>
            </w:pPr>
            <w:r>
              <w:rPr>
                <w:sz w:val="24"/>
                <w:szCs w:val="24"/>
              </w:rPr>
              <w:t>Подключение конкурсной площадки, с целью размещения объектов «склады» на Участке, к сетям водоснабжения и водоотведения будет возможно только после выполнения вышеуказанных мероприятий.</w:t>
            </w:r>
          </w:p>
          <w:p>
            <w:pPr>
              <w:pStyle w:val="Normal"/>
              <w:spacing w:lineRule="auto" w:line="240" w:before="0" w:after="0"/>
              <w:ind w:firstLine="452"/>
              <w:jc w:val="both"/>
              <w:rPr>
                <w:rFonts w:ascii="Times New Roman" w:hAnsi="Times New Roman"/>
                <w:sz w:val="24"/>
                <w:szCs w:val="24"/>
              </w:rPr>
            </w:pPr>
            <w:r>
              <w:rPr>
                <w:sz w:val="24"/>
                <w:szCs w:val="24"/>
              </w:rPr>
              <w:t>В случае наличия в границах Участка существующих сетей водоснабжения и (или) водоотведения, размещение объектов предусмотреть строго за пределами охранных зон сетей в соответствии норм, указанных в таблице 12.5 СП 42.13330.2016 «Градостроительство планировка и застройка городских и сельских поселений».</w:t>
            </w:r>
          </w:p>
          <w:p>
            <w:pPr>
              <w:pStyle w:val="Normal"/>
              <w:spacing w:lineRule="auto" w:line="240" w:before="0" w:after="0"/>
              <w:ind w:firstLine="311"/>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 xml:space="preserve">ООО «Новогор-Прикамье» </w:t>
            </w:r>
            <w:r>
              <w:rPr>
                <w:sz w:val="24"/>
                <w:szCs w:val="24"/>
              </w:rPr>
              <w:t>от 21.10.2022 № 110-17170).</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Техническая возможность подключения объекта к сетям теплоснабжения отсутствует.</w:t>
            </w:r>
          </w:p>
          <w:p>
            <w:pPr>
              <w:pStyle w:val="Normal"/>
              <w:spacing w:lineRule="auto" w:line="240" w:before="0" w:after="0"/>
              <w:ind w:firstLine="311"/>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Пермские тепловые сети Филиал ПАО «Т Плюс»</w:t>
            </w:r>
            <w:r>
              <w:rPr>
                <w:sz w:val="24"/>
                <w:szCs w:val="24"/>
              </w:rPr>
              <w:t xml:space="preserve"> от 19.10.2022                   № 51000-32-03311).</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Техническая возможность подключения объектов к сетям теплоснабжения отсутствует.</w:t>
            </w:r>
          </w:p>
          <w:p>
            <w:pPr>
              <w:pStyle w:val="Normal"/>
              <w:spacing w:lineRule="auto" w:line="240" w:before="0" w:after="0"/>
              <w:ind w:firstLine="452"/>
              <w:jc w:val="both"/>
              <w:rPr>
                <w:rFonts w:ascii="Times New Roman" w:hAnsi="Times New Roman"/>
                <w:sz w:val="24"/>
                <w:szCs w:val="24"/>
              </w:rPr>
            </w:pPr>
            <w:r>
              <w:rPr>
                <w:sz w:val="24"/>
                <w:szCs w:val="24"/>
              </w:rPr>
              <w:t>В целях целесообразности обеспечения нужд рассматриваемых объектов рекомендуется рассмотреть альтернативный источник теплоснабжения.</w:t>
            </w:r>
          </w:p>
          <w:p>
            <w:pPr>
              <w:pStyle w:val="Normal"/>
              <w:spacing w:lineRule="auto" w:line="240" w:before="0" w:after="0"/>
              <w:ind w:firstLine="311"/>
              <w:jc w:val="both"/>
              <w:rPr>
                <w:rFonts w:ascii="Times New Roman" w:hAnsi="Times New Roman"/>
                <w:sz w:val="24"/>
                <w:szCs w:val="24"/>
              </w:rPr>
            </w:pPr>
            <w:r>
              <w:rPr>
                <w:sz w:val="24"/>
                <w:szCs w:val="24"/>
              </w:rPr>
              <w:t xml:space="preserve">(Аналогичная информация отражена в письме </w:t>
            </w:r>
            <w:r>
              <w:rPr>
                <w:b/>
                <w:sz w:val="24"/>
                <w:szCs w:val="24"/>
              </w:rPr>
              <w:t>департамента жилищно-коммунального хозяйства</w:t>
            </w:r>
            <w:r>
              <w:rPr>
                <w:sz w:val="24"/>
                <w:szCs w:val="24"/>
              </w:rPr>
              <w:t xml:space="preserve"> </w:t>
            </w:r>
            <w:r>
              <w:rPr>
                <w:b/>
                <w:sz w:val="24"/>
                <w:szCs w:val="24"/>
              </w:rPr>
              <w:t xml:space="preserve">администрации города Перми </w:t>
            </w:r>
            <w:r>
              <w:rPr>
                <w:sz w:val="24"/>
                <w:szCs w:val="24"/>
              </w:rPr>
              <w:t>от 29.11.2022 № 059-04-25/3-100-ри).</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Технологическое присоединение к сетям связи ПАО «Ростелеком» планируемых к строительству объектов в границах Участка может быть произведено в точке подключения узел ВОЛС (г. Пермь, ул. Янаульская, д. 30)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452"/>
              <w:jc w:val="both"/>
              <w:rPr>
                <w:rFonts w:ascii="Times New Roman" w:hAnsi="Times New Roman"/>
                <w:sz w:val="24"/>
                <w:szCs w:val="24"/>
              </w:rPr>
            </w:pPr>
            <w:r>
              <w:rPr>
                <w:color w:val="000000"/>
                <w:sz w:val="24"/>
                <w:szCs w:val="24"/>
              </w:rPr>
              <w:t>Для получения ТУ на подключение к сетям связи</w:t>
              <w:br/>
              <w:t xml:space="preserve">ПАО «Ростелеком» необходимо направить письменный запрос по адресу: г. Пермь, ул. Крупской, д. 2, </w:t>
            </w:r>
            <w:r>
              <w:rPr>
                <w:color w:val="000000"/>
                <w:sz w:val="24"/>
                <w:szCs w:val="24"/>
                <w:lang w:val="en-US"/>
              </w:rPr>
              <w:t>e</w:t>
            </w:r>
            <w:r>
              <w:rPr>
                <w:color w:val="000000"/>
                <w:sz w:val="24"/>
                <w:szCs w:val="24"/>
              </w:rPr>
              <w:t>-</w:t>
            </w:r>
            <w:r>
              <w:rPr>
                <w:color w:val="000000"/>
                <w:sz w:val="24"/>
                <w:szCs w:val="24"/>
                <w:lang w:val="en-US"/>
              </w:rPr>
              <w:t>mail</w:t>
            </w:r>
            <w:r>
              <w:rPr>
                <w:color w:val="000000"/>
                <w:sz w:val="24"/>
                <w:szCs w:val="24"/>
              </w:rPr>
              <w:t xml:space="preserve">: </w:t>
            </w:r>
            <w:hyperlink r:id="rId11">
              <w:r>
                <w:rPr>
                  <w:rStyle w:val="Hyperlink"/>
                  <w:color w:val="0000FF"/>
                  <w:sz w:val="24"/>
                  <w:szCs w:val="24"/>
                  <w:u w:val="single"/>
                  <w:lang w:val="en-US"/>
                </w:rPr>
                <w:t>perm</w:t>
              </w:r>
              <w:r>
                <w:rPr>
                  <w:rStyle w:val="Hyperlink"/>
                  <w:color w:val="0000FF"/>
                  <w:sz w:val="24"/>
                  <w:szCs w:val="24"/>
                  <w:u w:val="single"/>
                </w:rPr>
                <w:t>-</w:t>
              </w:r>
              <w:r>
                <w:rPr>
                  <w:rStyle w:val="Hyperlink"/>
                  <w:color w:val="0000FF"/>
                  <w:sz w:val="24"/>
                  <w:szCs w:val="24"/>
                  <w:u w:val="single"/>
                  <w:lang w:val="en-US"/>
                </w:rPr>
                <w:t>mail</w:t>
              </w:r>
              <w:r>
                <w:rPr>
                  <w:rStyle w:val="Hyperlink"/>
                  <w:color w:val="0000FF"/>
                  <w:sz w:val="24"/>
                  <w:szCs w:val="24"/>
                  <w:u w:val="single"/>
                </w:rPr>
                <w:t>@</w:t>
              </w:r>
              <w:r>
                <w:rPr>
                  <w:rStyle w:val="Hyperlink"/>
                  <w:color w:val="0000FF"/>
                  <w:sz w:val="24"/>
                  <w:szCs w:val="24"/>
                  <w:u w:val="single"/>
                  <w:lang w:val="en-US"/>
                </w:rPr>
                <w:t>ural</w:t>
              </w:r>
              <w:r>
                <w:rPr>
                  <w:rStyle w:val="Hyperlink"/>
                  <w:color w:val="0000FF"/>
                  <w:sz w:val="24"/>
                  <w:szCs w:val="24"/>
                  <w:u w:val="single"/>
                </w:rPr>
                <w:t>.</w:t>
              </w:r>
              <w:r>
                <w:rPr>
                  <w:rStyle w:val="Hyperlink"/>
                  <w:color w:val="0000FF"/>
                  <w:sz w:val="24"/>
                  <w:szCs w:val="24"/>
                  <w:u w:val="single"/>
                  <w:lang w:val="en-US"/>
                </w:rPr>
                <w:t>rt</w:t>
              </w:r>
              <w:r>
                <w:rPr>
                  <w:rStyle w:val="Hyperlink"/>
                  <w:color w:val="0000FF"/>
                  <w:sz w:val="24"/>
                  <w:szCs w:val="24"/>
                  <w:u w:val="single"/>
                </w:rPr>
                <w:t>.</w:t>
              </w:r>
              <w:r>
                <w:rPr>
                  <w:rStyle w:val="Hyperlink"/>
                  <w:color w:val="0000FF"/>
                  <w:sz w:val="24"/>
                  <w:szCs w:val="24"/>
                  <w:u w:val="single"/>
                  <w:lang w:val="en-US"/>
                </w:rPr>
                <w:t>ru</w:t>
              </w:r>
            </w:hyperlink>
            <w:r>
              <w:rPr>
                <w:color w:val="000000"/>
                <w:sz w:val="24"/>
                <w:szCs w:val="24"/>
              </w:rPr>
              <w:t>.</w:t>
            </w:r>
          </w:p>
          <w:p>
            <w:pPr>
              <w:pStyle w:val="Normal"/>
              <w:spacing w:lineRule="auto" w:line="240" w:before="0" w:after="0"/>
              <w:ind w:firstLine="311"/>
              <w:jc w:val="both"/>
              <w:rPr>
                <w:rFonts w:ascii="Times New Roman" w:hAnsi="Times New Roman"/>
                <w:sz w:val="24"/>
                <w:szCs w:val="24"/>
              </w:rPr>
            </w:pPr>
            <w:r>
              <w:rPr>
                <w:color w:val="000000"/>
                <w:sz w:val="24"/>
                <w:szCs w:val="24"/>
              </w:rPr>
              <w:t xml:space="preserve">(Аналогичная информация отражена в письме  </w:t>
            </w:r>
            <w:r>
              <w:rPr>
                <w:b/>
                <w:color w:val="000000"/>
                <w:sz w:val="24"/>
                <w:szCs w:val="24"/>
              </w:rPr>
              <w:t>ПАО «Ростелеком»</w:t>
            </w:r>
            <w:r>
              <w:rPr>
                <w:color w:val="000000"/>
                <w:sz w:val="24"/>
                <w:szCs w:val="24"/>
              </w:rPr>
              <w:t xml:space="preserve"> от 09.04.2025 № 01/05/55177/25).</w:t>
            </w:r>
          </w:p>
          <w:p>
            <w:pPr>
              <w:pStyle w:val="Normal"/>
              <w:spacing w:lineRule="auto" w:line="240" w:before="0" w:after="0"/>
              <w:ind w:firstLine="317"/>
              <w:jc w:val="both"/>
              <w:rPr>
                <w:rFonts w:ascii="Times New Roman" w:hAnsi="Times New Roman"/>
                <w14:ligatures w14:val="none"/>
              </w:rPr>
            </w:pPr>
            <w:r>
              <w:rPr>
                <w14:ligatures w14:val="none"/>
              </w:rPr>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10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jc w:val="left"/>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2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w:t>
              <w:br/>
              <w:t xml:space="preserve">(далее – ЗК РФ), обязан до подписания договора уплатить ежегодный размер арендной платы, указанный в п. 4.2 договора (за вычетом задатка, внесенного для участия в аукционе) </w:t>
            </w:r>
            <w:r>
              <w:rPr>
                <w:b/>
                <w:bCs w:val="false"/>
                <w:color w:val="000000"/>
                <w:sz w:val="24"/>
                <w:szCs w:val="24"/>
                <w:shd w:fill="auto" w:val="clear"/>
              </w:rPr>
              <w:t>однократно за первые 3 года</w:t>
            </w:r>
            <w:r>
              <w:rPr>
                <w:b/>
                <w:bCs w:val="false"/>
                <w:color w:val="000000"/>
                <w:sz w:val="24"/>
                <w:szCs w:val="24"/>
              </w:rPr>
              <w:t xml:space="preserve"> </w:t>
            </w:r>
            <w:r>
              <w:rPr>
                <w:b w:val="false"/>
                <w:bCs w:val="false"/>
                <w:sz w:val="24"/>
                <w:szCs w:val="24"/>
              </w:rPr>
              <w:t xml:space="preserve">на счет департамента земельных отношений администрации города Перми, 614015, ул. Сибирская,15, 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2 к настоящему извещению)</w:t>
            </w:r>
          </w:p>
        </w:tc>
        <w:tc>
          <w:tcPr>
            <w:tcW w:w="685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339 000 руб.</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10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5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16 950 руб.</w:t>
            </w:r>
          </w:p>
        </w:tc>
      </w:tr>
      <w:tr>
        <w:trPr>
          <w:trHeight w:val="41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10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5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2"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 xml:space="preserve">Решение о проведении аукциона принято </w:t>
              <w:br/>
              <w:t>в соответствии со статьей 39.11 Земельного кодекса Российской Федерации. Аукцион является открытым по составу участников.</w:t>
            </w:r>
          </w:p>
        </w:tc>
      </w:tr>
      <w:tr>
        <w:trPr>
          <w:trHeight w:val="23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10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5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169 500 руб.</w:t>
            </w:r>
          </w:p>
          <w:p>
            <w:pPr>
              <w:pStyle w:val="Normal"/>
              <w:jc w:val="both"/>
              <w:rPr>
                <w:sz w:val="24"/>
                <w:szCs w:val="24"/>
              </w:rPr>
            </w:pPr>
            <w:r>
              <w:rPr>
                <w:sz w:val="24"/>
                <w:szCs w:val="24"/>
              </w:rPr>
            </w:r>
          </w:p>
        </w:tc>
      </w:tr>
      <w:tr>
        <w:trPr>
          <w:trHeight w:val="236" w:hRule="atLeast"/>
        </w:trPr>
        <w:tc>
          <w:tcPr>
            <w:tcW w:w="56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106"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58"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4 года 10 месяцев</w:t>
            </w:r>
          </w:p>
        </w:tc>
      </w:tr>
      <w:tr>
        <w:trPr>
          <w:trHeight w:val="188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10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5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10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85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b/>
          <w:bCs/>
        </w:rPr>
      </w:pPr>
      <w:r>
        <w:rPr>
          <w:b/>
          <w:bCs/>
          <w:lang w:val="en-US"/>
        </w:rPr>
        <w:t>Лот № 2</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54"/>
        <w:gridCol w:w="686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w:t>
            </w:r>
            <w:r>
              <w:rPr>
                <w:rFonts w:eastAsia="Droid Sans Fallback" w:cs="Lohit Devanagari"/>
                <w:color w:val="auto"/>
                <w:sz w:val="24"/>
                <w:szCs w:val="24"/>
                <w:lang w:val="ru-RU" w:eastAsia="zh-CN" w:bidi="ar-SA"/>
              </w:rPr>
              <w:t xml:space="preserve">а Перми </w:t>
            </w:r>
            <w:r>
              <w:rPr>
                <w:rFonts w:eastAsia="Droid Sans Fallback" w:cs="Lohit Devanagari"/>
                <w:color w:val="auto"/>
                <w:sz w:val="24"/>
                <w:szCs w:val="28"/>
                <w:lang w:val="ru-RU" w:eastAsia="zh-CN" w:bidi="ar-SA"/>
              </w:rPr>
              <w:t>от 25 июня 2025 г. № 21-01-03-5259 «О проведении аукциона на право заключения договора аренды земельного участка в Кировском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rPr>
            </w:pPr>
            <w:r>
              <w:rPr>
                <w:sz w:val="24"/>
                <w:szCs w:val="24"/>
              </w:rPr>
              <w:t>Российская Федерация, Пермский край, городской округ Пермский, город Пермь, улица Ирбитская, з/у 157</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1810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59:01:1810005:153</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0"/>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0"/>
              <w:rPr>
                <w:sz w:val="24"/>
                <w:szCs w:val="24"/>
              </w:rPr>
            </w:pPr>
            <w:r>
              <w:rPr>
                <w:sz w:val="24"/>
                <w:szCs w:val="24"/>
                <w:lang w:val="en-US"/>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263"/>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5"/>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ind w:hanging="0"/>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w:t>
            </w:r>
            <w:r>
              <w:rPr>
                <w:sz w:val="24"/>
                <w:szCs w:val="24"/>
                <w:highlight w:val="white"/>
              </w:rPr>
              <w:t>15.07.2025г.                      № КУВИ-001/2025-139896565</w:t>
            </w:r>
            <w:r>
              <w:rPr>
                <w:sz w:val="24"/>
                <w:szCs w:val="24"/>
              </w:rPr>
              <w:t xml:space="preserve"> (далее – ЕГРН);</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18.06.2025 № РФ-59-2-03-0-00-2025-1356-0 (далее – ГПЗУ).</w:t>
            </w:r>
          </w:p>
          <w:p>
            <w:pPr>
              <w:pStyle w:val="Normal"/>
              <w:jc w:val="both"/>
              <w:rPr>
                <w:sz w:val="24"/>
                <w:szCs w:val="24"/>
              </w:rPr>
            </w:pPr>
            <w:r>
              <w:rPr>
                <w:sz w:val="24"/>
                <w:szCs w:val="24"/>
              </w:rPr>
            </w:r>
          </w:p>
          <w:p>
            <w:pPr>
              <w:pStyle w:val="Normal"/>
              <w:spacing w:lineRule="auto" w:line="240" w:before="0" w:after="0"/>
              <w:ind w:firstLine="452"/>
              <w:jc w:val="both"/>
              <w:rPr>
                <w:rFonts w:ascii="Times New Roman" w:hAnsi="Times New Roman"/>
                <w:color w:val="auto"/>
                <w:sz w:val="24"/>
                <w:szCs w:val="24"/>
              </w:rPr>
            </w:pPr>
            <w:r>
              <w:rPr>
                <w:color w:val="auto"/>
                <w:sz w:val="24"/>
                <w:szCs w:val="24"/>
              </w:rPr>
              <w:t>В ходе обследования данной территории, капитальных/ некапитальных объектов не выявлено. Доступ на участок не ограничен.</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t>Близлежащий источник противопожарного водоснабжения относительно Участка расположен по ул. Ирбитская, д. 34  (пожарный гидрант).</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t xml:space="preserve">(Аналогичная информация отражена в письме  </w:t>
            </w:r>
            <w:r>
              <w:rPr>
                <w:b/>
                <w:color w:val="auto"/>
                <w:sz w:val="24"/>
                <w:szCs w:val="24"/>
              </w:rPr>
              <w:t>администрации Кировского района города Перми</w:t>
            </w:r>
            <w:r>
              <w:rPr>
                <w:color w:val="auto"/>
                <w:sz w:val="24"/>
                <w:szCs w:val="24"/>
              </w:rPr>
              <w:t xml:space="preserve"> от 05.06.2025 № 059-23-01-25/3-248, в акте обследования от 04.06.2025).</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r>
          </w:p>
          <w:p>
            <w:pPr>
              <w:pStyle w:val="Normal"/>
              <w:spacing w:lineRule="auto" w:line="240" w:before="0" w:after="0"/>
              <w:ind w:firstLine="425" w:left="0" w:right="0"/>
              <w:jc w:val="both"/>
              <w:rPr>
                <w:rFonts w:ascii="Times New Roman" w:hAnsi="Times New Roman"/>
                <w:color w:val="auto"/>
                <w:sz w:val="24"/>
                <w:szCs w:val="24"/>
                <w:highlight w:val="white"/>
              </w:rPr>
            </w:pPr>
            <w:r>
              <w:rPr>
                <w:color w:val="auto"/>
                <w:sz w:val="24"/>
                <w:szCs w:val="24"/>
                <w:highlight w:val="white"/>
              </w:rPr>
              <w:t>В соответствии со сведениями ЕГРН, копией планшета М 1:500 (требуется корректура), геодезической съемкой, выполненной в 2025 году, объекты капитального/некапитального строительства в границах Участка отсутствуют.</w:t>
            </w:r>
          </w:p>
          <w:p>
            <w:pPr>
              <w:pStyle w:val="Normal"/>
              <w:spacing w:lineRule="auto" w:line="240" w:before="0" w:after="0"/>
              <w:ind w:firstLine="311"/>
              <w:jc w:val="both"/>
              <w:rPr>
                <w:rFonts w:ascii="Times New Roman" w:hAnsi="Times New Roman"/>
                <w:color w:val="auto"/>
                <w:sz w:val="24"/>
                <w:szCs w:val="24"/>
                <w:highlight w:val="none"/>
                <w14:ligatures w14:val="none"/>
              </w:rPr>
            </w:pPr>
            <w:r>
              <w:rPr>
                <w:color w:val="auto"/>
                <w:sz w:val="24"/>
                <w:szCs w:val="24"/>
              </w:rPr>
              <w:t>Согласно сведениям, содержащимся в ЕГРН</w:t>
            </w:r>
            <w:r>
              <w:rPr>
                <w:color w:val="auto"/>
                <w:sz w:val="24"/>
                <w:szCs w:val="24"/>
                <w:highlight w:val="white"/>
              </w:rPr>
              <w:t xml:space="preserve">, ГПЗУ </w:t>
              <w:br/>
              <w:t xml:space="preserve">и справке по градостроительным условиям участка </w:t>
              <w:br/>
              <w:t xml:space="preserve">от </w:t>
            </w:r>
            <w:r>
              <w:rPr>
                <w:color w:themeColor="text1" w:val="000000"/>
                <w:sz w:val="24"/>
                <w:szCs w:val="24"/>
                <w:highlight w:val="white"/>
              </w:rPr>
              <w:t xml:space="preserve">15.07.2025 № 637917 </w:t>
            </w:r>
            <w:r>
              <w:rPr>
                <w:color w:val="auto"/>
                <w:sz w:val="24"/>
                <w:szCs w:val="24"/>
                <w:highlight w:val="white"/>
              </w:rPr>
              <w:t>Участок полностью расположен</w:t>
            </w:r>
            <w:r>
              <w:rPr>
                <w:b w:val="false"/>
                <w:bCs w:val="false"/>
                <w:color w:val="auto"/>
                <w:sz w:val="24"/>
                <w:szCs w:val="24"/>
              </w:rPr>
              <w:t xml:space="preserve"> </w:t>
              <w:br/>
              <w:t xml:space="preserve">в границах зоны с особыми условиями использования территории Охранная зона транспорта «Зоны с особыми условиями использования - </w:t>
            </w:r>
            <w:r>
              <w:rPr>
                <w:color w:val="auto"/>
                <w:sz w:val="24"/>
                <w:szCs w:val="24"/>
              </w:rPr>
              <w:t>Приаэродромная территория аэродрома аэропорта Большое Савино», реестровый номер 59:32-6.553</w:t>
            </w:r>
            <w:r>
              <w:rPr>
                <w:color w:val="auto"/>
                <w:sz w:val="24"/>
                <w:szCs w:val="24"/>
                <w14:ligatures w14:val="none"/>
              </w:rPr>
              <w:t>.</w:t>
            </w:r>
          </w:p>
          <w:p>
            <w:pPr>
              <w:pStyle w:val="Normal"/>
              <w:spacing w:lineRule="auto" w:line="240" w:before="0" w:after="0"/>
              <w:ind w:firstLine="311"/>
              <w:jc w:val="both"/>
              <w:rPr>
                <w:rFonts w:ascii="Times New Roman" w:hAnsi="Times New Roman"/>
                <w:b w:val="false"/>
                <w:bCs w:val="false"/>
                <w:color w:val="auto"/>
                <w:sz w:val="24"/>
                <w:szCs w:val="24"/>
                <w:highlight w:val="none"/>
                <w14:ligatures w14:val="none"/>
              </w:rPr>
            </w:pPr>
            <w:r>
              <w:rPr>
                <w:color w:val="auto"/>
                <w:sz w:val="24"/>
                <w:szCs w:val="24"/>
                <w:highlight w:val="white"/>
              </w:rPr>
              <w:t xml:space="preserve">Проектирование и строительство вести в соответствии </w:t>
              <w:br/>
              <w:t xml:space="preserve">с постановлением Правительства Российской Федерации </w:t>
              <w:br/>
              <w:t>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b w:val="false"/>
                <w:bCs w:val="false"/>
                <w:color w:val="auto"/>
                <w:sz w:val="24"/>
                <w:szCs w:val="24"/>
                <w:highlight w:val="none"/>
                <w14:ligatures w14:val="none"/>
              </w:rPr>
            </w:pPr>
            <w:r>
              <w:rPr>
                <w:b w:val="false"/>
                <w:bCs w:val="false"/>
                <w:color w:val="auto"/>
                <w:sz w:val="24"/>
                <w:szCs w:val="24"/>
                <w14:ligatures w14:val="none"/>
              </w:rPr>
            </w:r>
          </w:p>
          <w:p>
            <w:pPr>
              <w:pStyle w:val="Normal"/>
              <w:spacing w:lineRule="auto" w:line="240" w:before="0" w:after="0"/>
              <w:ind w:firstLine="452"/>
              <w:jc w:val="both"/>
              <w:rPr>
                <w:rFonts w:ascii="Times New Roman" w:hAnsi="Times New Roman"/>
                <w:color w:val="auto"/>
                <w:sz w:val="24"/>
                <w:szCs w:val="24"/>
              </w:rPr>
            </w:pPr>
            <w:r>
              <w:rPr>
                <w:color w:val="auto"/>
                <w:sz w:val="24"/>
                <w:szCs w:val="24"/>
              </w:rPr>
              <w:t>На Участке произрастают 64 дерева: ель 6 шт., береза 39 шт., ива 14 шт., липа 5 шт.</w:t>
            </w:r>
          </w:p>
          <w:p>
            <w:pPr>
              <w:pStyle w:val="Normal"/>
              <w:spacing w:lineRule="auto" w:line="240" w:before="0" w:after="0"/>
              <w:ind w:firstLine="311"/>
              <w:jc w:val="both"/>
              <w:rPr>
                <w:rFonts w:ascii="Times New Roman" w:hAnsi="Times New Roman"/>
                <w:color w:val="auto"/>
                <w:sz w:val="24"/>
                <w:szCs w:val="24"/>
                <w:highlight w:val="none"/>
              </w:rPr>
            </w:pPr>
            <w:r>
              <w:rPr>
                <w:color w:val="auto"/>
                <w:sz w:val="24"/>
                <w:szCs w:val="24"/>
                <w:highlight w:val="white"/>
              </w:rPr>
              <w:t>Средняя стоимость в ценах 2025 года одного дерева лиственной породы от 25 тыс. руб., а хвойной – от 30 тыс. руб.</w:t>
            </w:r>
          </w:p>
          <w:p>
            <w:pPr>
              <w:pStyle w:val="Normal"/>
              <w:spacing w:lineRule="auto" w:line="240" w:before="0" w:after="0"/>
              <w:ind w:firstLine="311"/>
              <w:jc w:val="both"/>
              <w:rPr>
                <w:color w:val="auto"/>
              </w:rPr>
            </w:pPr>
            <w:r>
              <w:rPr>
                <w:color w:val="auto"/>
                <w:sz w:val="24"/>
                <w:szCs w:val="24"/>
              </w:rPr>
              <w:t>На прилегающей территории расположены городские леса и  лесопарковый зеленый пояс г. Перми. Необходимо учесть их границы.</w:t>
            </w:r>
          </w:p>
          <w:p>
            <w:pPr>
              <w:pStyle w:val="Normal"/>
              <w:spacing w:lineRule="auto" w:line="240" w:before="0" w:after="0"/>
              <w:ind w:firstLine="283" w:left="0" w:right="0"/>
              <w:jc w:val="both"/>
              <w:rPr>
                <w:rFonts w:ascii="Times New Roman" w:hAnsi="Times New Roman" w:eastAsia="Times New Roman" w:cs="Times New Roman"/>
                <w:color w:val="auto"/>
                <w:spacing w:val="0"/>
                <w14:ligatures w14:val="none"/>
              </w:rPr>
            </w:pPr>
            <w:r>
              <w:rPr>
                <w:rFonts w:eastAsia="Times New Roman" w:cs="Times New Roman"/>
                <w:color w:val="auto"/>
                <w:spacing w:val="0"/>
                <w:sz w:val="24"/>
              </w:rPr>
              <w:t xml:space="preserve">Победителю аукциона необходимо соблюдать условия строительства, перечисленные в </w:t>
            </w:r>
            <w:r>
              <w:rPr>
                <w:rFonts w:eastAsia="Times New Roman" w:cs="Times New Roman"/>
                <w:color w:val="auto"/>
                <w:spacing w:val="0"/>
                <w:sz w:val="24"/>
                <w:szCs w:val="24"/>
              </w:rPr>
              <w:t>перечне мероприятий по охране окружающей среды от 10.06.2025 № 145 (прилагается).</w:t>
            </w:r>
          </w:p>
          <w:p>
            <w:pPr>
              <w:pStyle w:val="Normal"/>
              <w:spacing w:lineRule="auto" w:line="240" w:before="0" w:after="0"/>
              <w:ind w:firstLine="452"/>
              <w:jc w:val="both"/>
              <w:rPr>
                <w:rFonts w:ascii="Times New Roman" w:hAnsi="Times New Roman"/>
                <w:color w:val="auto"/>
                <w:sz w:val="24"/>
                <w:szCs w:val="24"/>
                <w:highlight w:val="none"/>
              </w:rPr>
            </w:pPr>
            <w:r>
              <w:rPr>
                <w:rFonts w:eastAsia="Times New Roman" w:cs="Times New Roman"/>
                <w:color w:val="auto"/>
                <w:spacing w:val="0"/>
                <w:sz w:val="24"/>
                <w:szCs w:val="24"/>
              </w:rPr>
              <w:t xml:space="preserve">(Аналогичная информация отражена в письме  </w:t>
            </w:r>
            <w:r>
              <w:rPr>
                <w:rFonts w:eastAsia="Times New Roman" w:cs="Times New Roman"/>
                <w:b/>
                <w:color w:val="auto"/>
                <w:spacing w:val="0"/>
                <w:sz w:val="24"/>
                <w:szCs w:val="24"/>
              </w:rPr>
              <w:t>Управления по экологии и природопользованию администрации города Перми</w:t>
            </w:r>
            <w:r>
              <w:rPr>
                <w:rFonts w:eastAsia="Times New Roman" w:cs="Times New Roman"/>
                <w:color w:val="auto"/>
                <w:spacing w:val="0"/>
                <w:sz w:val="24"/>
                <w:szCs w:val="24"/>
              </w:rPr>
              <w:t xml:space="preserve"> от 10.06.2025 № 059-33-01-10/3-328).</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t xml:space="preserve">Муниципальной программой «Дорожная деятельность и благоустройство города Перми», утвержденной постановлением администрации города Перми от 18.10.2024 № 966 </w:t>
              <w:br/>
            </w:r>
            <w:r>
              <w:rPr>
                <w:color w:themeColor="text1" w:val="000000"/>
                <w:sz w:val="24"/>
                <w:szCs w:val="24"/>
              </w:rPr>
              <w:t>«Об утверждении муниципальной программы «Дорожная деятельность и благоустройство города Перми»</w:t>
            </w:r>
            <w:r>
              <w:rPr>
                <w:color w:val="auto"/>
                <w:sz w:val="24"/>
                <w:szCs w:val="24"/>
              </w:rPr>
              <w:t>,</w:t>
            </w:r>
            <w:r>
              <w:rPr>
                <w:color w:val="auto"/>
                <w:sz w:val="24"/>
                <w:szCs w:val="24"/>
                <w:highlight w:val="white"/>
              </w:rPr>
              <w:t xml:space="preserve"> 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Autospacing="0" w:before="0" w:afterAutospacing="0" w:after="0"/>
              <w:ind w:firstLine="425" w:left="0" w:right="0"/>
              <w:jc w:val="both"/>
              <w:rPr>
                <w:color w:val="auto"/>
              </w:rPr>
            </w:pPr>
            <w:r>
              <w:rPr>
                <w:rFonts w:eastAsia="Times New Roman" w:cs="Times New Roman"/>
                <w:color w:val="auto"/>
                <w:sz w:val="24"/>
              </w:rPr>
              <w:t>Для примыкания Участка к улично-дорожной сети города Перми необходимо выполнить условия, указанные в письме (прилагается).</w:t>
            </w:r>
          </w:p>
          <w:p>
            <w:pPr>
              <w:pStyle w:val="Normal"/>
              <w:spacing w:lineRule="auto" w:line="240" w:beforeAutospacing="0" w:before="0" w:afterAutospacing="0" w:after="0"/>
              <w:ind w:firstLine="425" w:left="0" w:right="0"/>
              <w:jc w:val="both"/>
              <w:rPr>
                <w:color w:val="auto"/>
              </w:rPr>
            </w:pPr>
            <w:r>
              <w:rPr>
                <w:rFonts w:eastAsia="Times New Roman" w:cs="Times New Roman"/>
                <w:color w:val="auto"/>
                <w:sz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w:t>
              <w:br/>
              <w:t xml:space="preserve">от 15.12.2020 № 277 </w:t>
            </w:r>
            <w:r>
              <w:rPr>
                <w:rFonts w:eastAsia="Times New Roman" w:cs="Times New Roman"/>
                <w:color w:themeColor="text1" w:val="000000"/>
                <w:sz w:val="24"/>
              </w:rPr>
              <w:t>«Об утверждении Правил благоустройства территории города Перми»</w:t>
            </w:r>
            <w:r>
              <w:rPr>
                <w:rFonts w:eastAsia="Times New Roman" w:cs="Times New Roman"/>
                <w:color w:val="auto"/>
                <w:sz w:val="24"/>
              </w:rPr>
              <w:t>, при строительстве объектов недвижимости на земельных участках, предоставленных на торгах.</w:t>
            </w:r>
          </w:p>
          <w:p>
            <w:pPr>
              <w:pStyle w:val="Normal"/>
              <w:spacing w:lineRule="auto" w:line="240" w:before="0" w:after="0"/>
              <w:ind w:firstLine="720"/>
              <w:jc w:val="both"/>
              <w:rPr>
                <w:color w:val="auto"/>
              </w:rPr>
            </w:pPr>
            <w:r>
              <w:rPr>
                <w:color w:val="auto"/>
                <w:sz w:val="24"/>
                <w:szCs w:val="24"/>
              </w:rPr>
              <w:t xml:space="preserve">В соответствии с Федеральным Законом </w:t>
              <w:br/>
              <w:t xml:space="preserve">от 08.11.2007 № 257-ФЗ «Об автомобильных дорогах </w:t>
              <w:br/>
              <w:t xml:space="preserve">и о дорожной деятельности в Российской Федерации </w:t>
              <w:br/>
              <w:t>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t xml:space="preserve">(Аналогичная информация отражена в письме </w:t>
            </w:r>
            <w:r>
              <w:rPr>
                <w:b/>
                <w:color w:val="auto"/>
                <w:sz w:val="24"/>
                <w:szCs w:val="24"/>
              </w:rPr>
              <w:t>департамента дорог и благоустройства администрации города Перми</w:t>
            </w:r>
            <w:r>
              <w:rPr>
                <w:color w:val="auto"/>
                <w:sz w:val="24"/>
                <w:szCs w:val="24"/>
              </w:rPr>
              <w:t xml:space="preserve"> от 06.06.2025 № 059-24-01-36/3-1963).</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r>
          </w:p>
          <w:p>
            <w:pPr>
              <w:pStyle w:val="Normal"/>
              <w:spacing w:lineRule="auto" w:line="240" w:before="0" w:after="0"/>
              <w:ind w:firstLine="459"/>
              <w:jc w:val="both"/>
              <w:rPr>
                <w:color w:val="auto"/>
              </w:rPr>
            </w:pPr>
            <w:r>
              <w:rPr>
                <w:color w:val="auto"/>
                <w:sz w:val="24"/>
                <w:szCs w:val="24"/>
              </w:rPr>
              <w:t>Ближайшее подразделение пожарной охраны расположено по адресу: ул. Сысольская, 16 (ПСЧ-6 10-ПСО).</w:t>
            </w:r>
          </w:p>
          <w:p>
            <w:pPr>
              <w:pStyle w:val="Normal"/>
              <w:spacing w:lineRule="auto" w:line="240" w:before="0" w:after="0"/>
              <w:ind w:firstLine="459"/>
              <w:jc w:val="both"/>
              <w:rPr>
                <w:rFonts w:ascii="Times New Roman" w:hAnsi="Times New Roman"/>
                <w:color w:val="auto"/>
                <w:sz w:val="24"/>
                <w:szCs w:val="24"/>
                <w14:ligatures w14:val="none"/>
              </w:rPr>
            </w:pPr>
            <w:r>
              <w:rPr>
                <w:color w:val="auto"/>
                <w:sz w:val="24"/>
                <w:szCs w:val="24"/>
              </w:rPr>
              <w:t>На указанной территории источники противопожарного водоснабжения отсутствуют.</w:t>
            </w:r>
          </w:p>
          <w:p>
            <w:pPr>
              <w:pStyle w:val="Normal"/>
              <w:spacing w:lineRule="auto" w:line="240" w:before="0" w:after="0"/>
              <w:ind w:firstLine="459"/>
              <w:jc w:val="both"/>
              <w:rPr>
                <w:rFonts w:ascii="Times New Roman" w:hAnsi="Times New Roman"/>
                <w:color w:val="auto"/>
                <w:sz w:val="24"/>
                <w:szCs w:val="24"/>
                <w:highlight w:val="none"/>
                <w14:ligatures w14:val="none"/>
              </w:rPr>
            </w:pPr>
            <w:r>
              <w:rPr>
                <w:color w:val="auto"/>
                <w:sz w:val="24"/>
                <w:szCs w:val="24"/>
              </w:rPr>
              <w:t xml:space="preserve">При планировке 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 </w:t>
              <w:br/>
              <w:t>от 30.03.2020 № 225, Свода правил 4.13130 «Системы противопожарной защиты.</w:t>
            </w:r>
          </w:p>
          <w:p>
            <w:pPr>
              <w:pStyle w:val="Normal"/>
              <w:spacing w:lineRule="auto" w:line="240" w:before="0" w:after="0"/>
              <w:ind w:firstLine="459"/>
              <w:jc w:val="both"/>
              <w:rPr>
                <w:rFonts w:ascii="Times New Roman" w:hAnsi="Times New Roman"/>
                <w:color w:val="auto"/>
                <w14:ligatures w14:val="none"/>
              </w:rPr>
            </w:pPr>
            <w:r>
              <w:rPr>
                <w:color w:val="auto"/>
                <w:sz w:val="24"/>
                <w:szCs w:val="24"/>
              </w:rPr>
              <w:t>Помещения для аварийно-спасательных служб и (или) аварийно-спасательных формирований на указанной территории отсутствуют.</w:t>
            </w:r>
          </w:p>
          <w:p>
            <w:pPr>
              <w:pStyle w:val="Normal"/>
              <w:spacing w:lineRule="auto" w:line="240" w:before="0" w:after="0"/>
              <w:ind w:firstLine="459"/>
              <w:jc w:val="both"/>
              <w:rPr>
                <w:color w:val="auto"/>
              </w:rPr>
            </w:pPr>
            <w:r>
              <w:rPr>
                <w:color w:val="auto"/>
                <w:sz w:val="24"/>
                <w:szCs w:val="24"/>
              </w:rPr>
              <w:t xml:space="preserve">Объекты общественной безопасности, отнесенные </w:t>
              <w:br/>
              <w:t xml:space="preserve">к объектам полиции (участковые пункты полиции), </w:t>
              <w:br/>
              <w:t>в данном микрорайоне отсутствуют.</w:t>
            </w:r>
          </w:p>
          <w:p>
            <w:pPr>
              <w:pStyle w:val="Normal"/>
              <w:spacing w:lineRule="auto" w:line="240" w:before="0" w:after="0"/>
              <w:ind w:firstLine="459"/>
              <w:jc w:val="both"/>
              <w:rPr>
                <w:color w:val="auto"/>
              </w:rPr>
            </w:pPr>
            <w:r>
              <w:rPr>
                <w:color w:val="auto"/>
                <w:sz w:val="24"/>
                <w:szCs w:val="24"/>
              </w:rPr>
              <w:t>Ближайший участковый пункт расположен по адресу: г. Пермь, ул. Судозаводская, д. 8 (микрорайон Нижняя Курья, Кировский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459"/>
              <w:jc w:val="both"/>
              <w:rPr>
                <w:rFonts w:ascii="Times New Roman" w:hAnsi="Times New Roman"/>
                <w:color w:val="auto"/>
                <w:sz w:val="24"/>
                <w:szCs w:val="24"/>
                <w:highlight w:val="none"/>
              </w:rPr>
            </w:pPr>
            <w:r>
              <w:rPr>
                <w:color w:val="auto"/>
                <w:sz w:val="24"/>
                <w:szCs w:val="24"/>
              </w:rPr>
              <w:t>По информации предоставленной письмом Министерства территориальной безопасности Пермского края от 07.10.2020 № 964с, рассматриваемая территория попадает в зону возможного химического заражения в особый период.</w:t>
            </w:r>
          </w:p>
          <w:p>
            <w:pPr>
              <w:pStyle w:val="Normal"/>
              <w:spacing w:lineRule="auto" w:line="240" w:before="0" w:after="0"/>
              <w:ind w:firstLine="459"/>
              <w:jc w:val="both"/>
              <w:rPr>
                <w:color w:val="auto"/>
              </w:rPr>
            </w:pPr>
            <w:r>
              <w:rPr>
                <w:color w:val="auto"/>
                <w:sz w:val="24"/>
                <w:szCs w:val="24"/>
              </w:rPr>
              <w:t>Территория находится в зоне действия региональной системы оповещения населения города Перми, установленной по адресу: ул. Светлогорская, 19 - 1500 метров.</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t xml:space="preserve">(Аналогичная информация отражена в письме  </w:t>
            </w:r>
            <w:r>
              <w:rPr>
                <w:b/>
                <w:color w:val="auto"/>
                <w:sz w:val="24"/>
                <w:szCs w:val="24"/>
              </w:rPr>
              <w:t>департамента общественной безопасности администрации города Перми</w:t>
            </w:r>
            <w:r>
              <w:rPr>
                <w:color w:val="auto"/>
                <w:sz w:val="24"/>
                <w:szCs w:val="24"/>
              </w:rPr>
              <w:t xml:space="preserve"> от 05.06.2025 № 059-10-01-27/3-1209).</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r>
          </w:p>
          <w:p>
            <w:pPr>
              <w:pStyle w:val="BodyText"/>
              <w:spacing w:lineRule="auto" w:line="240"/>
              <w:ind w:firstLine="340" w:left="0" w:right="-1"/>
              <w:jc w:val="both"/>
              <w:rPr>
                <w:sz w:val="24"/>
                <w:szCs w:val="24"/>
              </w:rPr>
            </w:pPr>
            <w:r>
              <w:rPr>
                <w:color w:val="auto"/>
                <w:sz w:val="24"/>
                <w:szCs w:val="24"/>
              </w:rPr>
              <w:t>На период до 2028 года 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строительство сетей водоснабжения и водоотведения не предусмотрено.</w:t>
            </w:r>
          </w:p>
          <w:p>
            <w:pPr>
              <w:pStyle w:val="Normal"/>
              <w:spacing w:lineRule="auto" w:line="240" w:before="0" w:after="0"/>
              <w:ind w:firstLine="452"/>
              <w:jc w:val="both"/>
              <w:rPr>
                <w:rFonts w:ascii="Times New Roman" w:hAnsi="Times New Roman"/>
                <w:color w:val="auto"/>
                <w:sz w:val="24"/>
                <w:szCs w:val="24"/>
                <w:highlight w:val="none"/>
              </w:rPr>
            </w:pPr>
            <w:r>
              <w:rPr>
                <w:color w:val="auto"/>
              </w:rPr>
              <w:t xml:space="preserve">(Аналогичная информация отражена в письме  </w:t>
            </w:r>
            <w:r>
              <w:rPr>
                <w:b/>
                <w:color w:val="auto"/>
                <w:sz w:val="24"/>
                <w:szCs w:val="24"/>
              </w:rPr>
              <w:t>департамента жилищно-коммунального хозяйства администрации города Перми</w:t>
            </w:r>
            <w:r>
              <w:rPr>
                <w:color w:val="auto"/>
                <w:sz w:val="24"/>
                <w:szCs w:val="24"/>
              </w:rPr>
              <w:t xml:space="preserve"> от 05.06.2025 № 059-04-17/3-486-ри).</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Cs w:val="24"/>
              </w:rPr>
              <w:t xml:space="preserve">В </w:t>
            </w:r>
            <w:r>
              <w:rPr>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Cs w:val="24"/>
                <w:lang w:val="en-US"/>
              </w:rPr>
              <w:t>www</w:t>
            </w:r>
            <w:r>
              <w:rPr>
                <w:szCs w:val="24"/>
              </w:rPr>
              <w:t>.</w:t>
            </w:r>
            <w:r>
              <w:rPr>
                <w:szCs w:val="24"/>
                <w:lang w:val="en-US"/>
              </w:rPr>
              <w:t>torgi</w:t>
            </w:r>
            <w:r>
              <w:rPr>
                <w:szCs w:val="24"/>
              </w:rPr>
              <w:t>.</w:t>
            </w:r>
            <w:r>
              <w:rPr>
                <w:szCs w:val="24"/>
                <w:lang w:val="en-US"/>
              </w:rPr>
              <w:t>gov</w:t>
            </w:r>
            <w:r>
              <w:rPr>
                <w:szCs w:val="24"/>
              </w:rPr>
              <w:t>.</w:t>
            </w:r>
            <w:r>
              <w:rPr>
                <w:szCs w:val="24"/>
                <w:lang w:val="en-US"/>
              </w:rPr>
              <w:t>ru</w:t>
            </w:r>
            <w:r>
              <w:rPr>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3" w:tgtFrame="http://www.gorodperm.ru/">
              <w:r>
                <w:rPr>
                  <w:rStyle w:val="Hyperlink"/>
                  <w:szCs w:val="24"/>
                </w:rPr>
                <w:t>www.gorodperm.ru</w:t>
              </w:r>
            </w:hyperlink>
            <w:r>
              <w:rPr>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color w:val="auto"/>
                <w:sz w:val="24"/>
                <w:szCs w:val="24"/>
              </w:rPr>
            </w:pPr>
            <w:r>
              <w:rPr>
                <w:color w:val="auto"/>
                <w:sz w:val="24"/>
                <w:szCs w:val="24"/>
                <w:lang w:val="en-US"/>
              </w:rPr>
              <w:t xml:space="preserve">Проектирование и строительство необходимо вести </w:t>
              <w:br/>
              <w:t>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Дом должен включать жилые комнаты – одну или несколько (общую комнату или гостиную, спальню),</w:t>
            </w:r>
            <w:r>
              <w:rPr>
                <w:color w:val="auto"/>
                <w:sz w:val="24"/>
                <w:szCs w:val="24"/>
              </w:rPr>
              <w:t xml:space="preserve"> </w:t>
              <w:br/>
            </w:r>
            <w:r>
              <w:rPr>
                <w:color w:val="auto"/>
                <w:sz w:val="24"/>
                <w:szCs w:val="24"/>
                <w:lang w:val="en-US"/>
              </w:rPr>
              <w:t>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w:t>
            </w:r>
            <w:r>
              <w:rPr>
                <w:color w:val="auto"/>
                <w:sz w:val="24"/>
                <w:szCs w:val="24"/>
              </w:rPr>
              <w:t>, переднюю.</w:t>
            </w:r>
          </w:p>
          <w:p>
            <w:pPr>
              <w:pStyle w:val="Normal"/>
              <w:spacing w:lineRule="auto" w:line="240" w:before="0" w:after="0"/>
              <w:ind w:firstLine="311"/>
              <w:jc w:val="both"/>
              <w:rPr>
                <w:rFonts w:ascii="Times New Roman" w:hAnsi="Times New Roman"/>
                <w:color w:val="auto"/>
                <w:sz w:val="24"/>
                <w:szCs w:val="24"/>
              </w:rPr>
            </w:pPr>
            <w:r>
              <w:rPr>
                <w:color w:val="auto"/>
                <w:sz w:val="24"/>
                <w:szCs w:val="24"/>
                <w:lang w:val="en-US"/>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color w:val="auto"/>
                <w:sz w:val="24"/>
                <w:szCs w:val="24"/>
                <w:vertAlign w:val="superscript"/>
                <w:lang w:val="en-US"/>
              </w:rPr>
              <w:t>2</w:t>
            </w:r>
            <w:r>
              <w:rPr>
                <w:color w:val="auto"/>
                <w:sz w:val="24"/>
                <w:szCs w:val="24"/>
                <w:lang w:val="en-US"/>
              </w:rPr>
              <w:t>, общей комнаты в доме с числом комнат две и более - 16 м</w:t>
            </w:r>
            <w:r>
              <w:rPr>
                <w:color w:val="auto"/>
                <w:sz w:val="24"/>
                <w:szCs w:val="24"/>
                <w:vertAlign w:val="superscript"/>
                <w:lang w:val="en-US"/>
              </w:rPr>
              <w:t>2</w:t>
            </w:r>
            <w:r>
              <w:rPr>
                <w:color w:val="auto"/>
                <w:sz w:val="24"/>
                <w:szCs w:val="24"/>
                <w:lang w:val="en-US"/>
              </w:rPr>
              <w:t>, спальни - 8 м</w:t>
            </w:r>
            <w:r>
              <w:rPr>
                <w:color w:val="auto"/>
                <w:sz w:val="24"/>
                <w:szCs w:val="24"/>
                <w:vertAlign w:val="superscript"/>
                <w:lang w:val="en-US"/>
              </w:rPr>
              <w:t>2</w:t>
            </w:r>
            <w:r>
              <w:rPr>
                <w:color w:val="auto"/>
                <w:sz w:val="24"/>
                <w:szCs w:val="24"/>
                <w:lang w:val="en-US"/>
              </w:rPr>
              <w:t xml:space="preserve"> (на двух человек - 10 м</w:t>
            </w:r>
            <w:r>
              <w:rPr>
                <w:color w:val="auto"/>
                <w:sz w:val="24"/>
                <w:szCs w:val="24"/>
                <w:vertAlign w:val="superscript"/>
                <w:lang w:val="en-US"/>
              </w:rPr>
              <w:t>2</w:t>
            </w:r>
            <w:r>
              <w:rPr>
                <w:color w:val="auto"/>
                <w:sz w:val="24"/>
                <w:szCs w:val="24"/>
                <w:lang w:val="en-US"/>
              </w:rPr>
              <w:t>); кухни - 8 м</w:t>
            </w:r>
            <w:r>
              <w:rPr>
                <w:color w:val="auto"/>
                <w:sz w:val="24"/>
                <w:szCs w:val="24"/>
                <w:vertAlign w:val="superscript"/>
                <w:lang w:val="en-US"/>
              </w:rPr>
              <w:t>2</w:t>
            </w:r>
            <w:r>
              <w:rPr>
                <w:color w:val="auto"/>
                <w:sz w:val="24"/>
                <w:szCs w:val="24"/>
                <w:lang w:val="en-US"/>
              </w:rPr>
              <w:t xml:space="preserve">; кухонной зоны </w:t>
              <w:br/>
              <w:t xml:space="preserve"> кухне-столовой - 6 м</w:t>
            </w:r>
            <w:r>
              <w:rPr>
                <w:color w:val="auto"/>
                <w:sz w:val="24"/>
                <w:szCs w:val="24"/>
                <w:vertAlign w:val="superscript"/>
                <w:lang w:val="en-US"/>
              </w:rPr>
              <w:t>2</w:t>
            </w:r>
            <w:r>
              <w:rPr>
                <w:color w:val="auto"/>
                <w:sz w:val="24"/>
                <w:szCs w:val="24"/>
                <w:lang w:val="en-US"/>
              </w:rPr>
              <w:t>.</w:t>
            </w:r>
            <w:r>
              <w:rPr>
                <w:color w:val="auto"/>
                <w:sz w:val="24"/>
                <w:szCs w:val="24"/>
              </w:rPr>
              <w:t xml:space="preserve"> </w:t>
            </w:r>
            <w:r>
              <w:rPr>
                <w:color w:val="auto"/>
                <w:sz w:val="24"/>
                <w:szCs w:val="24"/>
                <w:lang w:val="en-US"/>
              </w:rPr>
              <w:t>В домах с одной комнатой допускается проектировать кухни или кухни-ниши площадью не менее 5 м</w:t>
            </w:r>
            <w:r>
              <w:rPr>
                <w:color w:val="auto"/>
                <w:sz w:val="24"/>
                <w:szCs w:val="24"/>
                <w:vertAlign w:val="superscript"/>
                <w:lang w:val="en-US"/>
              </w:rPr>
              <w:t>2</w:t>
            </w:r>
            <w:r>
              <w:rPr>
                <w:color w:val="auto"/>
                <w:sz w:val="24"/>
                <w:szCs w:val="24"/>
                <w:lang w:val="en-US"/>
              </w:rPr>
              <w:t>.</w:t>
            </w:r>
            <w:r>
              <w:rPr>
                <w:color w:val="auto"/>
                <w:sz w:val="24"/>
                <w:szCs w:val="24"/>
              </w:rPr>
              <w:t xml:space="preserve"> </w:t>
            </w:r>
            <w:r>
              <w:rPr>
                <w:color w:val="auto"/>
                <w:sz w:val="24"/>
                <w:szCs w:val="24"/>
                <w:lang w:val="en-US"/>
              </w:rPr>
              <w:t>Площадь спальни и кухни в мансардном этаже (или этаже с наклонными ограждающими конструкциями) допускается не менее 7 м</w:t>
            </w:r>
            <w:r>
              <w:rPr>
                <w:color w:val="auto"/>
                <w:sz w:val="24"/>
                <w:szCs w:val="24"/>
                <w:vertAlign w:val="superscript"/>
                <w:lang w:val="en-US"/>
              </w:rPr>
              <w:t>2</w:t>
            </w:r>
            <w:r>
              <w:rPr>
                <w:color w:val="auto"/>
                <w:sz w:val="24"/>
                <w:szCs w:val="24"/>
                <w:lang w:val="en-US"/>
              </w:rPr>
              <w:t xml:space="preserve"> при условии, что общая жилая комната имеет площадь не менее 16 м</w:t>
            </w:r>
            <w:r>
              <w:rPr>
                <w:color w:val="auto"/>
                <w:sz w:val="24"/>
                <w:szCs w:val="24"/>
                <w:vertAlign w:val="superscript"/>
                <w:lang w:val="en-US"/>
              </w:rPr>
              <w:t>2</w:t>
            </w:r>
            <w:r>
              <w:rPr>
                <w:color w:val="auto"/>
                <w:sz w:val="24"/>
                <w:szCs w:val="24"/>
                <w:lang w:val="en-US"/>
              </w:rPr>
              <w:t>.</w:t>
            </w:r>
          </w:p>
          <w:p>
            <w:pPr>
              <w:pStyle w:val="Normal"/>
              <w:spacing w:lineRule="auto" w:line="240" w:before="0" w:after="0"/>
              <w:ind w:firstLine="311"/>
              <w:jc w:val="both"/>
              <w:rPr>
                <w:rFonts w:ascii="Times New Roman" w:hAnsi="Times New Roman"/>
                <w:color w:val="auto"/>
                <w:sz w:val="24"/>
                <w:szCs w:val="24"/>
              </w:rPr>
            </w:pPr>
            <w:r>
              <w:rPr>
                <w:color w:val="auto"/>
                <w:sz w:val="24"/>
                <w:szCs w:val="24"/>
                <w:lang w:val="en-US"/>
              </w:rPr>
              <w:t xml:space="preserve">Согласно пункту 6.2 СП 55.13330.2016 высота (от пола </w:t>
              <w:br/>
              <w:t xml:space="preserve">до потолка) комнат и кухни (кухни-столовой) </w:t>
              <w:br/>
              <w:t xml:space="preserve">в климатических районах строительства IА, IБ, IГ, IД, определяемых </w:t>
              <w:br/>
              <w:t xml:space="preserve">по СП 131.13330, должна быть не менее 2,7 м, а в других климатических районах строительства - не менее 2,5 м. Высота внутридомовых коридоров, холлов, передних, </w:t>
            </w:r>
            <w:r>
              <w:rPr>
                <w:color w:val="auto"/>
                <w:spacing w:val="-2"/>
                <w:sz w:val="24"/>
                <w:szCs w:val="24"/>
                <w:lang w:val="en-US"/>
              </w:rPr>
              <w:t>антресолей должна составлять не менее 2,1 м,</w:t>
            </w:r>
            <w:r>
              <w:rPr>
                <w:color w:val="auto"/>
                <w:spacing w:val="-2"/>
                <w:sz w:val="24"/>
                <w:szCs w:val="24"/>
              </w:rPr>
              <w:t xml:space="preserve"> </w:t>
            </w:r>
            <w:r>
              <w:rPr>
                <w:color w:val="auto"/>
                <w:spacing w:val="-2"/>
                <w:sz w:val="24"/>
                <w:szCs w:val="24"/>
                <w:lang w:val="en-US"/>
              </w:rPr>
              <w:t>а высота пути эвакуации -</w:t>
            </w:r>
            <w:r>
              <w:rPr>
                <w:color w:val="auto"/>
                <w:sz w:val="24"/>
                <w:szCs w:val="24"/>
                <w:lang w:val="en-US"/>
              </w:rPr>
              <w:t xml:space="preserve"> не менее</w:t>
            </w:r>
            <w:r>
              <w:rPr>
                <w:color w:val="auto"/>
                <w:sz w:val="24"/>
                <w:szCs w:val="24"/>
              </w:rPr>
              <w:t xml:space="preserve"> </w:t>
            </w:r>
            <w:r>
              <w:rPr>
                <w:color w:val="auto"/>
                <w:sz w:val="24"/>
                <w:szCs w:val="24"/>
                <w:lang w:val="en-US"/>
              </w:rPr>
              <w:t>2,2 м.</w:t>
            </w:r>
          </w:p>
          <w:p>
            <w:pPr>
              <w:pStyle w:val="Normal"/>
              <w:spacing w:lineRule="auto" w:line="240" w:before="0" w:after="0"/>
              <w:ind w:firstLine="311"/>
              <w:jc w:val="both"/>
              <w:rPr>
                <w:rFonts w:ascii="Times New Roman" w:hAnsi="Times New Roman"/>
                <w:color w:val="auto"/>
                <w:sz w:val="24"/>
                <w:szCs w:val="24"/>
              </w:rPr>
            </w:pPr>
            <w:r>
              <w:rPr>
                <w:color w:val="auto"/>
                <w:sz w:val="24"/>
                <w:szCs w:val="24"/>
                <w:lang w:val="en-US"/>
              </w:rPr>
              <w:t xml:space="preserve">В жилых комнатах и кухнях, расположенных в этажах </w:t>
            </w:r>
            <w:r>
              <w:rPr>
                <w:color w:val="auto"/>
                <w:sz w:val="24"/>
                <w:szCs w:val="24"/>
              </w:rPr>
              <w:br/>
            </w:r>
            <w:r>
              <w:rPr>
                <w:color w:val="auto"/>
                <w:sz w:val="24"/>
                <w:szCs w:val="24"/>
                <w:lang w:val="en-US"/>
              </w:rPr>
              <w:t xml:space="preserve">с наклонными ограждающими конструкциями или </w:t>
              <w:br/>
              <w:t>в мансардном этаже, допускается уменьшение высоты помещений (от пола</w:t>
            </w:r>
            <w:r>
              <w:rPr>
                <w:color w:val="auto"/>
                <w:sz w:val="24"/>
                <w:szCs w:val="24"/>
              </w:rPr>
              <w:t xml:space="preserve"> </w:t>
            </w:r>
            <w:r>
              <w:rPr>
                <w:color w:val="auto"/>
                <w:sz w:val="24"/>
                <w:szCs w:val="24"/>
                <w:lang w:val="en-US"/>
              </w:rPr>
              <w:t>до потолка), относительно нормируемой на площади, не превышающей 50%.</w:t>
            </w:r>
          </w:p>
          <w:p>
            <w:pPr>
              <w:pStyle w:val="Normal"/>
              <w:spacing w:lineRule="auto" w:line="240" w:before="0" w:after="0"/>
              <w:ind w:firstLine="311"/>
              <w:jc w:val="both"/>
              <w:rPr>
                <w:rFonts w:ascii="Times New Roman" w:hAnsi="Times New Roman"/>
                <w:color w:val="auto"/>
                <w:sz w:val="24"/>
                <w:szCs w:val="24"/>
              </w:rPr>
            </w:pPr>
            <w:r>
              <w:rPr>
                <w:color w:val="auto"/>
                <w:sz w:val="24"/>
                <w:szCs w:val="24"/>
              </w:rPr>
              <w:t>Согласно градостроительному плану Земельного участка от 18.06.2025 № РФ-59-2-03-0-00-2025-1356-0 (далее – ГПЗУ):</w:t>
            </w:r>
          </w:p>
          <w:p>
            <w:pPr>
              <w:pStyle w:val="Normal"/>
              <w:spacing w:lineRule="auto" w:line="240" w:before="0" w:after="0"/>
              <w:ind w:firstLine="311"/>
              <w:jc w:val="both"/>
              <w:rPr>
                <w:rFonts w:ascii="Times New Roman" w:hAnsi="Times New Roman"/>
                <w:color w:val="auto"/>
                <w:sz w:val="24"/>
                <w:szCs w:val="24"/>
                <w:highlight w:val="none"/>
              </w:rPr>
            </w:pPr>
            <w:r>
              <w:rPr>
                <w:color w:val="auto"/>
                <w:sz w:val="24"/>
                <w:szCs w:val="24"/>
              </w:rPr>
              <w:t xml:space="preserve">минимальный отступ от границ Участка до места допустимого размещения зданий, строений </w:t>
              <w:b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311"/>
              <w:jc w:val="both"/>
              <w:rPr>
                <w:rFonts w:ascii="Times New Roman" w:hAnsi="Times New Roman"/>
                <w:color w:val="auto"/>
                <w:sz w:val="24"/>
                <w:highlight w:val="white"/>
              </w:rPr>
            </w:pPr>
            <w:r>
              <w:rPr>
                <w:color w:val="auto"/>
                <w:sz w:val="24"/>
              </w:rPr>
              <w:t>м</w:t>
            </w:r>
            <w:r>
              <w:rPr>
                <w:color w:val="auto"/>
                <w:sz w:val="24"/>
                <w:highlight w:val="white"/>
              </w:rPr>
              <w:t xml:space="preserve">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color w:val="auto"/>
                <w:sz w:val="24"/>
                <w:szCs w:val="24"/>
              </w:rPr>
            </w:pPr>
            <w:r>
              <w:rPr>
                <w:color w:val="auto"/>
                <w:sz w:val="24"/>
                <w:szCs w:val="24"/>
              </w:rPr>
              <w:t xml:space="preserve">предельная высота зданий, строений – согласно документации по планировке территории, утвержденной постановлением администрации города Перми </w:t>
              <w:br/>
              <w:t>от 23.12.2016 № 1159, не более 10,5 м;</w:t>
            </w:r>
          </w:p>
          <w:p>
            <w:pPr>
              <w:pStyle w:val="Normal"/>
              <w:spacing w:lineRule="auto" w:line="240" w:before="0" w:after="0"/>
              <w:ind w:firstLine="311"/>
              <w:jc w:val="both"/>
              <w:rPr>
                <w:rFonts w:ascii="Times New Roman" w:hAnsi="Times New Roman"/>
                <w:color w:val="auto"/>
                <w:sz w:val="24"/>
                <w:szCs w:val="24"/>
                <w:highlight w:val="none"/>
              </w:rPr>
            </w:pPr>
            <w:r>
              <w:rPr>
                <w:color w:val="auto"/>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pPr>
              <w:pStyle w:val="Normal"/>
              <w:spacing w:lineRule="auto" w:line="240" w:before="0" w:after="0"/>
              <w:ind w:firstLine="452"/>
              <w:jc w:val="both"/>
              <w:rPr>
                <w:rFonts w:ascii="Times New Roman" w:hAnsi="Times New Roman"/>
                <w:color w:themeColor="text1" w:val="000000"/>
                <w:sz w:val="24"/>
                <w:szCs w:val="24"/>
              </w:rPr>
            </w:pPr>
            <w:r>
              <w:rPr>
                <w:color w:val="auto"/>
                <w:sz w:val="24"/>
                <w:szCs w:val="24"/>
              </w:rPr>
              <w:t xml:space="preserve">Победителю аукциона (единственному участнику) рекомендовано обратиться в уполномоченный орган </w:t>
              <w:br/>
              <w:t>с уведомлением о планируемом строительстве жилого дома.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t xml:space="preserve">В </w:t>
            </w:r>
            <w:r>
              <w:rPr>
                <w:shd w:fill="FFFFFF" w:val="clear"/>
              </w:rPr>
              <w:t xml:space="preserve">документации по земельному участку, размещенной с извещением о проведении аукциона в ГИС Торги </w:t>
            </w:r>
            <w:r>
              <w:rPr>
                <w:lang w:val="en-US"/>
              </w:rPr>
              <w:t>www</w:t>
            </w:r>
            <w:r>
              <w:rPr/>
              <w:t>.</w:t>
            </w:r>
            <w:r>
              <w:rPr>
                <w:lang w:val="en-US"/>
              </w:rPr>
              <w:t>torgi</w:t>
            </w:r>
            <w:r>
              <w:rPr/>
              <w:t>.</w:t>
            </w:r>
            <w:r>
              <w:rPr>
                <w:lang w:val="en-US"/>
              </w:rPr>
              <w:t>gov</w:t>
            </w:r>
            <w:r>
              <w:rPr/>
              <w:t>.</w:t>
            </w:r>
            <w:r>
              <w:rPr>
                <w:lang w:val="en-US"/>
              </w:rPr>
              <w:t>ru</w:t>
            </w:r>
            <w:r>
              <w:rPr>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4" w:tgtFrame="http://www.gorodperm.ru/">
              <w:r>
                <w:rPr>
                  <w:rStyle w:val="Hyperlink"/>
                </w:rPr>
                <w:t>www.gorodperm.ru</w:t>
              </w:r>
            </w:hyperlink>
            <w:r>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color w:val="auto"/>
                <w:sz w:val="24"/>
                <w:szCs w:val="24"/>
              </w:rPr>
            </w:pPr>
            <w:r>
              <w:rPr>
                <w:color w:val="auto"/>
                <w:sz w:val="24"/>
                <w:szCs w:val="24"/>
              </w:rPr>
              <w:t>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w:t>
            </w:r>
          </w:p>
          <w:p>
            <w:pPr>
              <w:pStyle w:val="Normal"/>
              <w:spacing w:lineRule="auto" w:line="240" w:before="0" w:after="0"/>
              <w:ind w:firstLine="452"/>
              <w:jc w:val="both"/>
              <w:rPr>
                <w:rFonts w:ascii="Times New Roman" w:hAnsi="Times New Roman"/>
                <w:color w:val="auto"/>
                <w:sz w:val="24"/>
                <w:szCs w:val="24"/>
              </w:rPr>
            </w:pPr>
            <w:r>
              <w:rPr>
                <w:color w:val="auto"/>
                <w:sz w:val="24"/>
                <w:szCs w:val="24"/>
              </w:rPr>
              <w:t xml:space="preserve">Порядок технологического присоединения </w:t>
              <w:br/>
              <w:t xml:space="preserve">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 к электрическим сетям, утвержденными постановлением Правительства РФ </w:t>
              <w:br/>
              <w:t>от 27.12.2004 № 861 (далее – Правила ТП).</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t xml:space="preserve">В силу пункта 6 Правил ТП технологическое присоединение осуществляется на основании договора заключаемого между сетевой организацией </w:t>
              <w:br/>
              <w:t>и юридическим или физическим лицом. Перечень мероприятий по технологическому присоединению определяется в технических условиях.</w:t>
            </w:r>
          </w:p>
          <w:p>
            <w:pPr>
              <w:pStyle w:val="Normal"/>
              <w:spacing w:lineRule="auto" w:line="240" w:before="0" w:after="0"/>
              <w:ind w:firstLine="452"/>
              <w:jc w:val="both"/>
              <w:rPr>
                <w:rFonts w:ascii="Times New Roman" w:hAnsi="Times New Roman"/>
                <w:color w:val="auto"/>
                <w:sz w:val="24"/>
                <w:szCs w:val="24"/>
              </w:rPr>
            </w:pPr>
            <w:r>
              <w:rPr>
                <w:color w:val="auto"/>
                <w:sz w:val="24"/>
                <w:szCs w:val="24"/>
              </w:rPr>
              <w:t>Согласно пунктам 15, 25, 25.1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 которое предусматривают точки присоединения, требования к усилению существующей сети, иные технические требования. Следовательно,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t xml:space="preserve">Для получения технических условий и заключения договора на технологическое присоединении необходимо направить в адрес филиала ПАО «Россети Урал» - «Пермэнерго» соответствующую заявку с указанием сведений и приложением необходимых документов </w:t>
              <w:br/>
              <w:t xml:space="preserve">в соответствии с Правилами ТП через единый федеральный портал электросетевых услуг группы компаний «Россети» на сайте: </w:t>
            </w:r>
            <w:hyperlink r:id="rId15" w:tgtFrame="https://">
              <w:r>
                <w:rPr>
                  <w:rStyle w:val="Hyperlink"/>
                  <w:color w:val="auto"/>
                  <w:sz w:val="24"/>
                  <w:szCs w:val="24"/>
                </w:rPr>
                <w:t>https://</w:t>
              </w:r>
            </w:hyperlink>
            <w:r>
              <w:rPr>
                <w:color w:val="auto"/>
                <w:sz w:val="24"/>
                <w:szCs w:val="24"/>
              </w:rPr>
              <w:t xml:space="preserve"> портал-тп.рф, через Мобильное приложение ПАО «Россети» или при очном приеме в Центре обслуживания клиентов филиала «Россети» или рот очном приеме в Центре обслуживания клиентов филиала «Россети Урал» - «Пермэнерго» </w:t>
              <w:br/>
              <w:t xml:space="preserve">по адресу: г. Пермь, ул. Камчатовская, д. 26, а также почтовым отправлением по адресу: 314016, г. Пермь, </w:t>
              <w:br/>
              <w:t>ул. Камчатовская, 26. По дополнительным вопросам телефон контакт-центра: 8-800-220-0-220 (круглосуточно и бесплатно).</w:t>
            </w:r>
          </w:p>
          <w:p>
            <w:pPr>
              <w:pStyle w:val="Normal"/>
              <w:spacing w:lineRule="auto" w:line="240" w:before="0" w:after="0"/>
              <w:ind w:firstLine="452"/>
              <w:jc w:val="both"/>
              <w:rPr>
                <w:rFonts w:ascii="Times New Roman" w:hAnsi="Times New Roman"/>
                <w:color w:val="auto"/>
                <w:sz w:val="24"/>
                <w:szCs w:val="24"/>
              </w:rPr>
            </w:pPr>
            <w:r>
              <w:rPr>
                <w:color w:val="auto"/>
                <w:sz w:val="24"/>
                <w:szCs w:val="24"/>
              </w:rPr>
              <w:t>При подготовке ГПЗУ необходимо предусмотреть коридоры для строительства кабельных линий и место для размещения трансформаторных подстанций.</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t xml:space="preserve">(Аналогичная информация отражена в письме  </w:t>
            </w:r>
            <w:r>
              <w:rPr>
                <w:b/>
                <w:bCs/>
                <w:color w:val="auto"/>
                <w:sz w:val="24"/>
                <w:szCs w:val="24"/>
              </w:rPr>
              <w:t xml:space="preserve">ПАО «Россети Урал» - «Пермэнерго» Пермские </w:t>
            </w:r>
            <w:r>
              <w:rPr>
                <w:b/>
                <w:color w:val="auto"/>
                <w:sz w:val="24"/>
                <w:szCs w:val="24"/>
              </w:rPr>
              <w:t>городские электрические сети»</w:t>
            </w:r>
            <w:r>
              <w:rPr>
                <w:color w:val="auto"/>
                <w:sz w:val="24"/>
                <w:szCs w:val="24"/>
              </w:rPr>
              <w:t xml:space="preserve">  от 09.06.2025 № ПЭ/ПГЭС/01/22/6857).</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r>
          </w:p>
          <w:p>
            <w:pPr>
              <w:pStyle w:val="Normal"/>
              <w:spacing w:lineRule="auto" w:line="240" w:before="0" w:after="0"/>
              <w:ind w:firstLine="317"/>
              <w:jc w:val="both"/>
              <w:rPr>
                <w:rFonts w:ascii="Times New Roman" w:hAnsi="Times New Roman"/>
                <w:color w:val="auto"/>
                <w:sz w:val="24"/>
                <w:szCs w:val="24"/>
              </w:rPr>
            </w:pPr>
            <w:r>
              <w:rPr>
                <w:color w:val="auto"/>
                <w:sz w:val="24"/>
                <w:szCs w:val="24"/>
              </w:rPr>
              <w:t>Участок расположен вне зоны теплоснабжения ПАО «Т Плюс».</w:t>
            </w:r>
          </w:p>
          <w:p>
            <w:pPr>
              <w:pStyle w:val="Normal"/>
              <w:spacing w:lineRule="auto" w:line="240" w:before="0" w:after="0"/>
              <w:ind w:firstLine="452"/>
              <w:jc w:val="both"/>
              <w:rPr>
                <w:rFonts w:ascii="Times New Roman" w:hAnsi="Times New Roman"/>
                <w:color w:val="auto"/>
                <w:sz w:val="24"/>
                <w:szCs w:val="24"/>
                <w:highlight w:val="none"/>
                <w14:ligatures w14:val="none"/>
              </w:rPr>
            </w:pPr>
            <w:r>
              <w:rPr>
                <w:color w:val="auto"/>
                <w:sz w:val="24"/>
                <w:szCs w:val="24"/>
              </w:rPr>
              <w:t>Для запроса информации о возможности подключения земельного участка рекомендуется обратиться к собственникам близлежащих тепловых сетей/источников теплоснабжения или рассмотреть возможность альтернативных источников теплоснабжения.</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t xml:space="preserve">(Аналогичная информация отражена в письме </w:t>
            </w:r>
            <w:r>
              <w:rPr>
                <w:b/>
                <w:color w:val="auto"/>
                <w:sz w:val="24"/>
                <w:szCs w:val="24"/>
              </w:rPr>
              <w:t>ПАО «Т Плюс»</w:t>
            </w:r>
            <w:r>
              <w:rPr>
                <w:color w:val="auto"/>
                <w:sz w:val="24"/>
                <w:szCs w:val="24"/>
              </w:rPr>
              <w:t xml:space="preserve"> от 06.06.2025 № 51000-32-02020).</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r>
          </w:p>
          <w:p>
            <w:pPr>
              <w:pStyle w:val="Normal"/>
              <w:spacing w:lineRule="auto" w:line="240" w:before="0" w:after="0"/>
              <w:ind w:firstLine="452"/>
              <w:jc w:val="both"/>
              <w:rPr>
                <w:rFonts w:ascii="Times New Roman" w:hAnsi="Times New Roman"/>
                <w:color w:val="auto"/>
                <w:sz w:val="24"/>
                <w:szCs w:val="24"/>
                <w:highlight w:val="none"/>
                <w14:ligatures w14:val="none"/>
              </w:rPr>
            </w:pPr>
            <w:r>
              <w:rPr>
                <w:color w:val="auto"/>
                <w:sz w:val="24"/>
              </w:rPr>
              <w:t>Техническая возможность подключения к сетям теплоснабжения отсутствует. В качестве альтернативного энергоресурса р</w:t>
            </w:r>
            <w:r>
              <w:rPr>
                <w:color w:val="auto"/>
                <w:spacing w:val="-2"/>
                <w:sz w:val="24"/>
              </w:rPr>
              <w:t>екомендовано рассмотреть газ и обратиться в Пермский филиал АО «Газпром газораспределение Пермь», либо рассмотреть иные альтернативные энергоресурсы (газ, электричество</w:t>
            </w:r>
            <w:r>
              <w:rPr>
                <w:color w:val="auto"/>
                <w:sz w:val="24"/>
              </w:rPr>
              <w:t>, дрова, пеллеты).</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t xml:space="preserve">(Аналогичная информация отражена в письме </w:t>
            </w:r>
            <w:r>
              <w:rPr>
                <w:b/>
                <w:color w:val="auto"/>
                <w:sz w:val="24"/>
                <w:szCs w:val="24"/>
              </w:rPr>
              <w:t>департамента жилищно-коммунального хозяйства администрации города Перми</w:t>
            </w:r>
            <w:r>
              <w:rPr>
                <w:color w:val="auto"/>
                <w:sz w:val="24"/>
                <w:szCs w:val="24"/>
              </w:rPr>
              <w:t xml:space="preserve"> от 10.06.2025 № 059-04-25/3-80-ри).</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r>
          </w:p>
          <w:p>
            <w:pPr>
              <w:pStyle w:val="Normal"/>
              <w:spacing w:lineRule="auto" w:line="240" w:before="0" w:after="0"/>
              <w:ind w:firstLine="452"/>
              <w:jc w:val="both"/>
              <w:rPr>
                <w:rFonts w:ascii="Times New Roman" w:hAnsi="Times New Roman"/>
                <w:color w:val="auto"/>
                <w:sz w:val="24"/>
                <w:szCs w:val="24"/>
                <w:highlight w:val="none"/>
                <w14:ligatures w14:val="none"/>
              </w:rPr>
            </w:pPr>
            <w:r>
              <w:rPr>
                <w:color w:val="auto"/>
                <w:sz w:val="24"/>
                <w:szCs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Normal"/>
              <w:spacing w:lineRule="auto" w:line="240" w:before="0" w:after="0"/>
              <w:ind w:firstLine="452"/>
              <w:jc w:val="both"/>
              <w:rPr>
                <w:rFonts w:ascii="Times New Roman" w:hAnsi="Times New Roman"/>
                <w:color w:val="auto"/>
                <w:sz w:val="24"/>
                <w:szCs w:val="24"/>
                <w:highlight w:val="none"/>
                <w14:ligatures w14:val="none"/>
              </w:rPr>
            </w:pPr>
            <w:r>
              <w:rPr>
                <w:color w:val="auto"/>
                <w:sz w:val="24"/>
                <w:szCs w:val="24"/>
              </w:rPr>
              <w:t xml:space="preserve">Для рассмотрения вопроса о предоставлении технических условий на подключение (технологическое присоединение) необходимо направить запрос 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 почтой России по адресу: 614107, Пермский край, г. Пермь, </w:t>
              <w:br/>
              <w:t>ул. Уральская, д. 104.</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t xml:space="preserve">(Аналогичная информация отражена в письме  </w:t>
            </w:r>
            <w:r>
              <w:rPr>
                <w:b/>
                <w:bCs/>
                <w:color w:val="auto"/>
                <w:sz w:val="24"/>
                <w:szCs w:val="24"/>
              </w:rPr>
              <w:t>АО «Газпром газораспределение Пермь»</w:t>
            </w:r>
            <w:r>
              <w:rPr>
                <w:color w:val="auto"/>
                <w:sz w:val="24"/>
                <w:szCs w:val="24"/>
              </w:rPr>
              <w:t xml:space="preserve"> от 16.06.2025 № ПФ-4072).</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r>
          </w:p>
          <w:p>
            <w:pPr>
              <w:pStyle w:val="Normal"/>
              <w:spacing w:lineRule="auto" w:line="240" w:before="0" w:after="0"/>
              <w:ind w:firstLine="452"/>
              <w:jc w:val="both"/>
              <w:rPr>
                <w:rFonts w:ascii="Times New Roman" w:hAnsi="Times New Roman"/>
                <w:color w:val="auto"/>
                <w:sz w:val="24"/>
                <w:szCs w:val="24"/>
              </w:rPr>
            </w:pPr>
            <w:r>
              <w:rPr>
                <w:color w:val="auto"/>
                <w:sz w:val="24"/>
                <w:szCs w:val="24"/>
              </w:rPr>
              <w:t>О наличии технической возможности для подключения сетей водоснабжения и водоотведения с предполагаемой величиной нагрузки 1,0 м3/сут. сообщается, что</w:t>
            </w:r>
            <w:r>
              <w:rPr>
                <w:color w:val="auto"/>
                <w:sz w:val="24"/>
                <w:szCs w:val="24"/>
                <w:lang w:val="ru-RU" w:eastAsia="ru-RU" w:bidi="ru-RU"/>
              </w:rPr>
              <w:t xml:space="preserve"> ближайшей сетью водоснабжения, эксплуатируемой ООО «НОВОГОР- Прикамье», располагаются по  ул. Рижская, ориентировочно на расстоянии в радиусе – более 1,9 км от Участка.</w:t>
            </w:r>
          </w:p>
          <w:p>
            <w:pPr>
              <w:pStyle w:val="Normal"/>
              <w:spacing w:lineRule="auto" w:line="240" w:before="0" w:after="0"/>
              <w:ind w:firstLine="452"/>
              <w:jc w:val="both"/>
              <w:rPr>
                <w:rFonts w:ascii="Times New Roman" w:hAnsi="Times New Roman"/>
                <w:color w:val="auto"/>
                <w:sz w:val="24"/>
                <w:szCs w:val="24"/>
                <w:highlight w:val="none"/>
                <w14:ligatures w14:val="none"/>
              </w:rPr>
            </w:pPr>
            <w:r>
              <w:rPr>
                <w:color w:val="auto"/>
                <w:sz w:val="24"/>
                <w:szCs w:val="24"/>
                <w:lang w:val="ru-RU" w:eastAsia="ru-RU" w:bidi="ru-RU"/>
              </w:rPr>
              <w:t xml:space="preserve">Ближайшей сетью водоотведения, эксплуатируемой </w:t>
              <w:br/>
              <w:t>ООО «НОВОГОР-Прикамье», располагаются по ул. Разъездная, ориентировочно на расстоянии в радиусе – более 2,2 км от Участка.</w:t>
            </w:r>
          </w:p>
          <w:p>
            <w:pPr>
              <w:pStyle w:val="Normal"/>
              <w:spacing w:lineRule="auto" w:line="240" w:before="0" w:after="0"/>
              <w:ind w:firstLine="452"/>
              <w:jc w:val="both"/>
              <w:rPr>
                <w:rFonts w:ascii="Times New Roman" w:hAnsi="Times New Roman"/>
                <w:color w:val="auto"/>
                <w:sz w:val="24"/>
                <w:szCs w:val="24"/>
                <w:highlight w:val="none"/>
                <w14:ligatures w14:val="none"/>
              </w:rPr>
            </w:pPr>
            <w:r>
              <w:rPr>
                <w:color w:val="auto"/>
                <w:sz w:val="24"/>
                <w:szCs w:val="24"/>
                <w:lang w:val="ru-RU" w:eastAsia="ru-RU" w:bidi="ru-RU"/>
              </w:rPr>
              <w:t xml:space="preserve">При проектировании может быть применен альтернативный способ водоснабжения без подключения к централизованной системы водоснабжения </w:t>
              <w:br/>
              <w:t>(от скважины) и альтернативный способ канализирования, без подключения к централизованной системе канализации г. Перми (отвод стоков на локальные очистные сооружения, либо в выгребную яму с последующим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452"/>
              <w:jc w:val="both"/>
              <w:rPr>
                <w:rFonts w:ascii="Times New Roman" w:hAnsi="Times New Roman"/>
                <w:color w:val="auto"/>
                <w:sz w:val="24"/>
                <w:szCs w:val="24"/>
                <w:highlight w:val="none"/>
                <w14:ligatures w14:val="none"/>
              </w:rPr>
            </w:pPr>
            <w:r>
              <w:rPr>
                <w:color w:val="auto"/>
                <w:sz w:val="24"/>
                <w:szCs w:val="24"/>
                <w:lang w:val="ru-RU" w:eastAsia="ru-RU" w:bidi="ru-RU"/>
              </w:rPr>
              <w:t>Кроме того, ООО «НОВОГОР-Прикамье» не располагает сведениями о наличии сетей 3-х лиц в границах Участка.</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lang w:val="ru-RU" w:eastAsia="ru-RU" w:bidi="ru-RU"/>
              </w:rPr>
              <w:t xml:space="preserve">(Аналогичная информация отражена в письме  </w:t>
            </w:r>
            <w:r>
              <w:rPr>
                <w:b/>
                <w:color w:val="auto"/>
                <w:sz w:val="24"/>
                <w:szCs w:val="24"/>
                <w:lang w:val="ru-RU" w:eastAsia="ru-RU" w:bidi="ru-RU"/>
              </w:rPr>
              <w:t xml:space="preserve">ООО «НОВОГОР-Прикамье» </w:t>
            </w:r>
            <w:r>
              <w:rPr>
                <w:color w:val="auto"/>
                <w:sz w:val="24"/>
                <w:szCs w:val="24"/>
                <w:lang w:val="ru-RU" w:eastAsia="ru-RU" w:bidi="ru-RU"/>
              </w:rPr>
              <w:t>от 05.06.2025 № 110-8073).</w:t>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rPr>
            </w:r>
          </w:p>
          <w:p>
            <w:pPr>
              <w:pStyle w:val="Normal"/>
              <w:spacing w:lineRule="auto" w:line="240" w:before="0" w:after="0"/>
              <w:ind w:firstLine="452"/>
              <w:jc w:val="both"/>
              <w:rPr>
                <w:rFonts w:ascii="Times New Roman" w:hAnsi="Times New Roman"/>
                <w:b w:val="false"/>
                <w:bCs w:val="false"/>
                <w:color w:val="auto"/>
                <w:highlight w:val="none"/>
                <w14:ligatures w14:val="none"/>
              </w:rPr>
            </w:pPr>
            <w:r>
              <w:rPr>
                <w:b w:val="false"/>
                <w:bCs w:val="false"/>
                <w:color w:val="auto"/>
                <w:sz w:val="24"/>
                <w:szCs w:val="24"/>
              </w:rPr>
              <w:t>Технологическое присоединение к сетям связи ПАО «Ростелеком» может быть произведено к узлу ВОЛС г. Пермь, ул. Адмирала Ушакова, д. 20а), максимальную нагрузку в точке подключения (технологического присоединения) необходимо определить на стадии проектирования.</w:t>
            </w:r>
          </w:p>
          <w:p>
            <w:pPr>
              <w:pStyle w:val="Normal"/>
              <w:spacing w:lineRule="auto" w:line="240" w:before="0" w:after="0"/>
              <w:ind w:firstLine="452"/>
              <w:jc w:val="both"/>
              <w:rPr>
                <w:b w:val="false"/>
                <w:bCs w:val="false"/>
                <w:color w:val="auto"/>
              </w:rPr>
            </w:pPr>
            <w:r>
              <w:rPr>
                <w:b w:val="false"/>
                <w:bCs w:val="false"/>
                <w:color w:val="auto"/>
                <w:sz w:val="24"/>
                <w:szCs w:val="24"/>
              </w:rPr>
              <w:t>В границах Участка сети связи ПАО «Ростелеком» отсутствуют.</w:t>
            </w:r>
          </w:p>
          <w:p>
            <w:pPr>
              <w:pStyle w:val="Normal"/>
              <w:spacing w:lineRule="auto" w:line="240" w:before="0" w:after="0"/>
              <w:ind w:firstLine="452"/>
              <w:jc w:val="both"/>
              <w:rPr>
                <w:b w:val="false"/>
                <w:bCs w:val="false"/>
                <w:color w:val="auto"/>
              </w:rPr>
            </w:pPr>
            <w:r>
              <w:rPr>
                <w:b w:val="false"/>
                <w:bCs w:val="false"/>
                <w:color w:val="auto"/>
                <w:sz w:val="24"/>
                <w:szCs w:val="24"/>
              </w:rPr>
              <w:t xml:space="preserve">Для получения технических условий на подключение к сетям связи необходимо обратиться в Отдел продаж </w:t>
              <w:br/>
              <w:t xml:space="preserve">и обслуживания по адресу: г. Пермь, ул. Крупской, 2, </w:t>
              <w:br/>
              <w:t xml:space="preserve">тел.: (342) 235-57-34 или направить запрос </w:t>
              <w:br/>
              <w:t xml:space="preserve">на </w:t>
            </w:r>
            <w:hyperlink r:id="rId16">
              <w:r>
                <w:rPr>
                  <w:rStyle w:val="Hyperlink"/>
                  <w:b w:val="false"/>
                  <w:bCs w:val="false"/>
                  <w:color w:val="auto"/>
                  <w:sz w:val="24"/>
                  <w:szCs w:val="24"/>
                </w:rPr>
                <w:t>perm-mail@ural.rt.ru</w:t>
              </w:r>
            </w:hyperlink>
            <w:r>
              <w:rPr>
                <w:b w:val="false"/>
                <w:bCs w:val="false"/>
                <w:color w:val="auto"/>
                <w:sz w:val="24"/>
                <w:szCs w:val="24"/>
              </w:rPr>
              <w:t>.</w:t>
            </w:r>
          </w:p>
          <w:p>
            <w:pPr>
              <w:pStyle w:val="Normal"/>
              <w:spacing w:lineRule="auto" w:line="240" w:before="0" w:after="0"/>
              <w:ind w:firstLine="452"/>
              <w:jc w:val="both"/>
              <w:rPr>
                <w:rFonts w:ascii="Times New Roman" w:hAnsi="Times New Roman"/>
                <w:color w:val="auto"/>
                <w:sz w:val="24"/>
                <w:szCs w:val="24"/>
                <w:highlight w:val="none"/>
              </w:rPr>
            </w:pPr>
            <w:r>
              <w:rPr>
                <w:b w:val="false"/>
                <w:bCs w:val="false"/>
                <w:color w:val="auto"/>
                <w:sz w:val="24"/>
                <w:szCs w:val="24"/>
              </w:rPr>
              <w:t xml:space="preserve">(Аналогичная информация отражена в письме  </w:t>
            </w:r>
            <w:r>
              <w:rPr>
                <w:b/>
                <w:bCs/>
                <w:color w:val="auto"/>
                <w:sz w:val="24"/>
                <w:szCs w:val="24"/>
              </w:rPr>
              <w:t xml:space="preserve">ПАО «Ростелеком» </w:t>
            </w:r>
            <w:r>
              <w:rPr>
                <w:b w:val="false"/>
                <w:bCs w:val="false"/>
                <w:color w:val="auto"/>
                <w:sz w:val="24"/>
                <w:szCs w:val="24"/>
              </w:rPr>
              <w:t>от 05.06.2025 № 01/05/84322/25).</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3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в аукционе)</w:t>
            </w:r>
            <w:r>
              <w:rPr>
                <w:b w:val="false"/>
                <w:bCs w:val="false"/>
                <w:sz w:val="24"/>
                <w:szCs w:val="24"/>
                <w:shd w:fill="auto" w:val="clear"/>
              </w:rPr>
              <w:t xml:space="preserve"> </w:t>
            </w:r>
            <w:r>
              <w:rPr>
                <w:b/>
                <w:bCs/>
                <w:sz w:val="24"/>
                <w:szCs w:val="24"/>
                <w:shd w:fill="auto" w:val="clear"/>
              </w:rPr>
              <w:t>за 1 год</w:t>
            </w:r>
            <w:r>
              <w:rPr>
                <w:b/>
                <w:bCs/>
                <w:sz w:val="24"/>
                <w:szCs w:val="24"/>
              </w:rPr>
              <w:t xml:space="preserve"> </w:t>
            </w:r>
            <w:r>
              <w:rPr>
                <w:b w:val="false"/>
                <w:bCs w:val="false"/>
                <w:sz w:val="24"/>
                <w:szCs w:val="24"/>
              </w:rPr>
              <w:t xml:space="preserve">на счет департамента земельных отношений администрации города Перми, 614015, </w:t>
              <w:br/>
              <w:t xml:space="preserve">ул. Сибирская,15, </w:t>
              <w:br/>
              <w:t xml:space="preserve">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3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844 000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42 200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7"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 xml:space="preserve">Решение о проведении аукциона принято </w:t>
              <w:br/>
              <w:t xml:space="preserve">в соответствии со статьей 39.18 Земельного кодекса Российской Федерации, </w:t>
            </w:r>
            <w:r>
              <w:rPr>
                <w:b/>
                <w:bCs/>
                <w:color w:val="000000"/>
                <w:sz w:val="24"/>
                <w:szCs w:val="24"/>
                <w:shd w:fill="auto" w:val="clear"/>
              </w:rPr>
              <w:t>участниками аукциона могут являться только граждане.</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422 000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54"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54"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11.03.2025</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3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10</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rPr>
      </w:pPr>
      <w:r>
        <w:rPr>
          <w:sz w:val="20"/>
          <w:szCs w:val="20"/>
        </w:rPr>
      </w:r>
      <w:bookmarkStart w:id="0" w:name="_GoBack"/>
      <w:bookmarkStart w:id="1" w:name="_GoBack"/>
      <w:bookmarkEnd w:id="1"/>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19.07.2025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02.09.2025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03.09.2025.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04.09</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от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8"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19.07.2025 по 02.09.2025.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20 или 25 ст.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ind w:firstLine="567" w:left="-567"/>
        <w:jc w:val="both"/>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highlight w:val="none"/>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19.07.2025 по 02.09.2025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ind w:firstLine="567" w:left="-567"/>
        <w:jc w:val="both"/>
        <w:rPr>
          <w:rFonts w:ascii="Times New Roman" w:hAnsi="Times New Roman" w:eastAsia="Droid Sans Fallback" w:cs="Lohit Devanagari"/>
          <w:color w:val="auto"/>
          <w:sz w:val="24"/>
          <w:szCs w:val="24"/>
          <w:highlight w:val="none"/>
          <w:shd w:fill="auto" w:val="clear"/>
          <w:lang w:val="ru-RU" w:eastAsia="zh-CN" w:bidi="ar-SA"/>
        </w:rPr>
      </w:pPr>
      <w:r>
        <w:rPr>
          <w:rFonts w:eastAsia="Droid Sans Fallback" w:cs="Lohit Devanagari"/>
          <w:color w:val="000000"/>
          <w:sz w:val="24"/>
          <w:szCs w:val="24"/>
          <w:shd w:fill="auto" w:val="clear"/>
          <w:lang w:val="ru-RU" w:eastAsia="zh-CN" w:bidi="ar-SA"/>
        </w:rPr>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 или наибольший размер ежегодной арендной платы 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являются частью извещения и представлены в Приложениях 2-3  к настоящему извещению.</w:t>
        <w:tab/>
      </w:r>
    </w:p>
    <w:p>
      <w:pPr>
        <w:pStyle w:val="Normal"/>
        <w:ind w:firstLine="567" w:left="-567"/>
        <w:jc w:val="both"/>
        <w:rPr>
          <w:highlight w:val="none"/>
          <w:shd w:fill="auto" w:val="clear"/>
        </w:rPr>
      </w:pPr>
      <w:r>
        <w:rPr>
          <w:bCs/>
          <w:shd w:fill="auto" w:val="clear"/>
        </w:rPr>
        <w:t xml:space="preserve">Если договор аренды земельного участка </w:t>
      </w:r>
      <w:r>
        <w:rPr>
          <w:b w:val="false"/>
          <w:bCs/>
          <w:shd w:fill="auto" w:val="clear"/>
        </w:rPr>
        <w:t>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заключения, включаются в реестр недобросовестных участников аукциона.</w:t>
      </w:r>
    </w:p>
    <w:sectPr>
      <w:headerReference w:type="default" r:id="rId19"/>
      <w:headerReference w:type="first" r:id="rId20"/>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Segoe UI">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25</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none"/>
        <w:szCs w:val="24"/>
        <w:color w:val="000000"/>
        <w:lang w:val="ru-RU"/>
      </w:rPr>
    </w:lvl>
    <w:lvl w:ilvl="2">
      <w:start w:val="1"/>
      <w:numFmt w:val="bullet"/>
      <w:lvlText w:val="§"/>
      <w:lvlJc w:val="left"/>
      <w:pPr>
        <w:tabs>
          <w:tab w:val="num" w:pos="0"/>
        </w:tabs>
        <w:ind w:left="2160" w:hanging="360"/>
      </w:pPr>
      <w:rPr>
        <w:rFonts w:ascii="Wingdings" w:hAnsi="Wingdings" w:cs="Wingdings" w:hint="default"/>
        <w:sz w:val="24"/>
        <w:szCs w:val="24"/>
      </w:rPr>
    </w:lvl>
    <w:lvl w:ilvl="3">
      <w:start w:val="1"/>
      <w:numFmt w:val="bullet"/>
      <w:lvlText w:val="·"/>
      <w:lvlJc w:val="left"/>
      <w:pPr>
        <w:tabs>
          <w:tab w:val="num" w:pos="0"/>
        </w:tabs>
        <w:ind w:left="2880" w:hanging="360"/>
      </w:pPr>
      <w:rPr>
        <w:rFonts w:ascii="Symbol" w:hAnsi="Symbol" w:cs="Symbol" w:hint="default"/>
        <w:sz w:val="24"/>
        <w:szCs w:val="24"/>
        <w:lang w:val="ru-RU"/>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abstractNum w:abstractNumId="4">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decimal"/>
      <w:lvlText w:val="%2."/>
      <w:lvlJc w:val="left"/>
      <w:pPr>
        <w:tabs>
          <w:tab w:val="num" w:pos="360"/>
        </w:tabs>
        <w:ind w:left="360" w:hanging="360"/>
      </w:pPr>
      <w:rPr>
        <w:sz w:val="24"/>
        <w:u w:val="none"/>
        <w:szCs w:val="24"/>
        <w:color w:val="000000"/>
        <w:lang w:val="ru-RU"/>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rPr>
        <w:sz w:val="24"/>
        <w:szCs w:val="24"/>
        <w:lang w:val="ru-RU"/>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rFonts w:eastAsia="Courier New"/>
        <w:lang w:bidi="ru-RU"/>
      </w:rPr>
    </w:lvl>
    <w:lvl w:ilvl="6">
      <w:start w:val="1"/>
      <w:numFmt w:val="decimal"/>
      <w:lvlText w:val="%7."/>
      <w:lvlJc w:val="left"/>
      <w:pPr>
        <w:tabs>
          <w:tab w:val="num" w:pos="5040"/>
        </w:tabs>
        <w:ind w:left="5040" w:hanging="360"/>
      </w:pPr>
      <w:rPr>
        <w:rFonts w:eastAsia="Calibri"/>
        <w:lang w:eastAsia="en-US"/>
      </w:rPr>
    </w:lvl>
    <w:lvl w:ilvl="7">
      <w:start w:val="1"/>
      <w:numFmt w:val="decimal"/>
      <w:lvlText w:val="%8."/>
      <w:lvlJc w:val="left"/>
      <w:pPr>
        <w:tabs>
          <w:tab w:val="num" w:pos="5760"/>
        </w:tabs>
        <w:ind w:left="5760" w:hanging="360"/>
      </w:pPr>
      <w:rPr>
        <w:bCs/>
        <w:lang w:eastAsia="en-US" w:bidi="ru-RU"/>
      </w:rPr>
    </w:lvl>
    <w:lvl w:ilvl="8">
      <w:start w:val="1"/>
      <w:numFmt w:val="decimal"/>
      <w:lvlText w:val="%9."/>
      <w:lvlJc w:val="left"/>
      <w:pPr>
        <w:tabs>
          <w:tab w:val="num" w:pos="6480"/>
        </w:tabs>
        <w:ind w:left="6480" w:hanging="360"/>
      </w:pPr>
      <w:rPr>
        <w:sz w:val="24"/>
        <w:u w:val="single"/>
        <w:szCs w:val="24"/>
        <w:color w:val="0000FF"/>
        <w:lang w:val="en-US"/>
      </w:rPr>
    </w:lvl>
  </w:abstractNum>
  <w:abstractNum w:abstractNumId="5">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single"/>
        <w:szCs w:val="24"/>
        <w:color w:val="0000FF"/>
        <w:lang w:val="en-US"/>
      </w:rPr>
    </w:lvl>
    <w:lvl w:ilvl="2">
      <w:start w:val="1"/>
      <w:numFmt w:val="bullet"/>
      <w:lvlText w:val="§"/>
      <w:lvlJc w:val="left"/>
      <w:pPr>
        <w:tabs>
          <w:tab w:val="num" w:pos="0"/>
        </w:tabs>
        <w:ind w:left="2160" w:hanging="360"/>
      </w:pPr>
      <w:rPr>
        <w:rFonts w:ascii="Wingdings" w:hAnsi="Wingdings" w:cs="Wingdings" w:hint="default"/>
        <w:sz w:val="24"/>
        <w:u w:val="single"/>
        <w:szCs w:val="24"/>
        <w:color w:val="0000FF"/>
      </w:rPr>
    </w:lvl>
    <w:lvl w:ilvl="3">
      <w:start w:val="1"/>
      <w:numFmt w:val="bullet"/>
      <w:lvlText w:val="·"/>
      <w:lvlJc w:val="left"/>
      <w:pPr>
        <w:tabs>
          <w:tab w:val="num" w:pos="0"/>
        </w:tabs>
        <w:ind w:left="2880" w:hanging="360"/>
      </w:pPr>
      <w:rPr>
        <w:rFonts w:ascii="Symbol" w:hAnsi="Symbol" w:cs="Symbol" w:hint="default"/>
        <w:sz w:val="24"/>
        <w:szCs w:val="24"/>
        <w:color w:val="000000"/>
      </w:rPr>
    </w:lvl>
    <w:lvl w:ilvl="4">
      <w:start w:val="1"/>
      <w:numFmt w:val="bullet"/>
      <w:lvlText w:val="o"/>
      <w:lvlJc w:val="left"/>
      <w:pPr>
        <w:tabs>
          <w:tab w:val="num" w:pos="0"/>
        </w:tabs>
        <w:ind w:left="3600" w:hanging="360"/>
      </w:pPr>
      <w:rPr>
        <w:rFonts w:ascii="Courier New" w:hAnsi="Courier New" w:cs="Courier New" w:hint="default"/>
        <w:sz w:val="24"/>
        <w:szCs w:val="24"/>
        <w:lang w:val="en-US"/>
      </w:rPr>
    </w:lvl>
    <w:lvl w:ilvl="5">
      <w:start w:val="1"/>
      <w:numFmt w:val="bullet"/>
      <w:lvlText w:val="§"/>
      <w:lvlJc w:val="left"/>
      <w:pPr>
        <w:tabs>
          <w:tab w:val="num" w:pos="0"/>
        </w:tabs>
        <w:ind w:left="4320" w:hanging="360"/>
      </w:pPr>
      <w:rPr>
        <w:rFonts w:ascii="Wingdings" w:hAnsi="Wingdings" w:cs="Wingdings" w:hint="default"/>
        <w:b/>
        <w:bCs/>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character" w:styleId="Style19">
    <w:name w:val="Основной текст Знак"/>
    <w:qFormat/>
    <w:rPr>
      <w:rFonts w:ascii="Courier New" w:hAnsi="Courier New" w:cs="Courier New"/>
      <w:sz w:val="26"/>
    </w:rPr>
  </w:style>
  <w:style w:type="character" w:styleId="Style20">
    <w:name w:val="Текст выноски Знак"/>
    <w:qFormat/>
    <w:rPr>
      <w:rFonts w:ascii="Segoe UI" w:hAnsi="Segoe UI" w:cs="Segoe UI"/>
      <w:sz w:val="18"/>
      <w:szCs w:val="18"/>
    </w:rPr>
  </w:style>
  <w:style w:type="character" w:styleId="Style21">
    <w:name w:val="Основной шрифт абзаца"/>
    <w:qFormat/>
    <w:rPr/>
  </w:style>
  <w:style w:type="character" w:styleId="WW8Num1z0">
    <w:name w:val="WW8Num1z0"/>
    <w:qFormat/>
    <w:rPr/>
  </w:style>
  <w:style w:type="paragraph" w:styleId="Style22">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3">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22"/>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4"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5"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paragraph" w:styleId="32">
    <w:name w:val="Основной текст с отступом 3"/>
    <w:basedOn w:val="Normal"/>
    <w:qFormat/>
    <w:pPr>
      <w:widowControl/>
      <w:spacing w:before="0" w:after="120"/>
      <w:ind w:left="283"/>
      <w:jc w:val="left"/>
    </w:pPr>
    <w:rPr>
      <w:color w:val="auto"/>
      <w:sz w:val="16"/>
      <w:szCs w:val="16"/>
      <w:lang w:val="ru-RU" w:eastAsia="zh-CN" w:bidi="ar-SA"/>
    </w:rPr>
  </w:style>
  <w:style w:type="paragraph" w:styleId="Style28">
    <w:name w:val="Форма"/>
    <w:qFormat/>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zh-CN" w:bidi="ar-SA"/>
    </w:rPr>
  </w:style>
  <w:style w:type="paragraph" w:styleId="Style29">
    <w:name w:val="Текст выноски"/>
    <w:basedOn w:val="Normal"/>
    <w:qFormat/>
    <w:pPr>
      <w:widowControl/>
      <w:spacing w:before="0" w:after="0"/>
      <w:jc w:val="left"/>
    </w:pPr>
    <w:rPr>
      <w:rFonts w:ascii="Segoe UI" w:hAnsi="Segoe UI" w:cs="Segoe UI"/>
      <w:color w:val="auto"/>
      <w:sz w:val="18"/>
      <w:szCs w:val="18"/>
      <w:lang w:val="en-US" w:eastAsia="zh-CN" w:bidi="ar-SA"/>
    </w:rPr>
  </w:style>
  <w:style w:type="paragraph" w:styleId="Style30">
    <w:name w:val="Название объекта"/>
    <w:basedOn w:val="Normal"/>
    <w:qFormat/>
    <w:pPr>
      <w:widowControl w:val="false"/>
      <w:spacing w:lineRule="exact" w:line="360" w:before="0" w:after="0"/>
      <w:jc w:val="center"/>
    </w:pPr>
    <w:rPr>
      <w:b/>
      <w:color w:val="auto"/>
      <w:sz w:val="32"/>
      <w:lang w:val="ru-RU" w:eastAsia="zh-CN" w:bidi="ar-SA"/>
    </w:rPr>
  </w:style>
  <w:style w:type="paragraph" w:styleId="Caption1111">
    <w:name w:val="Caption1111"/>
    <w:basedOn w:val="Normal"/>
    <w:qFormat/>
    <w:pPr>
      <w:widowControl/>
      <w:spacing w:before="120" w:after="120"/>
      <w:jc w:val="left"/>
    </w:pPr>
    <w:rPr>
      <w:rFonts w:cs="Lohit Devanagari"/>
      <w:i/>
      <w:iCs/>
      <w:color w:val="auto"/>
      <w:sz w:val="24"/>
      <w:szCs w:val="24"/>
      <w:lang w:val="ru-RU" w:eastAsia="zh-CN" w:bidi="ar-SA"/>
    </w:rPr>
  </w:style>
  <w:style w:type="paragraph" w:styleId="Caption111">
    <w:name w:val="Caption111"/>
    <w:basedOn w:val="Normal"/>
    <w:qFormat/>
    <w:pPr>
      <w:widowControl/>
      <w:spacing w:before="120" w:after="120"/>
      <w:jc w:val="left"/>
    </w:pPr>
    <w:rPr>
      <w:rFonts w:cs="Lohit Devanagari"/>
      <w:i/>
      <w:iCs/>
      <w:color w:val="auto"/>
      <w:sz w:val="24"/>
      <w:szCs w:val="24"/>
      <w:lang w:val="ru-RU" w:eastAsia="zh-CN" w:bidi="ar-SA"/>
    </w:rPr>
  </w:style>
  <w:style w:type="paragraph" w:styleId="Caption11">
    <w:name w:val="Caption11"/>
    <w:basedOn w:val="Normal"/>
    <w:qFormat/>
    <w:pPr>
      <w:widowControl/>
      <w:spacing w:before="120" w:after="120"/>
      <w:jc w:val="left"/>
    </w:pPr>
    <w:rPr>
      <w:rFonts w:cs="Lohit Devanagari"/>
      <w:i/>
      <w:iCs/>
      <w:color w:val="auto"/>
      <w:sz w:val="24"/>
      <w:szCs w:val="24"/>
      <w:lang w:val="ru-RU" w:eastAsia="zh-CN" w:bidi="ar-SA"/>
    </w:rPr>
  </w:style>
  <w:style w:type="numbering" w:styleId="NoList" w:default="1">
    <w:name w:val="No List"/>
    <w:uiPriority w:val="99"/>
    <w:semiHidden/>
    <w:unhideWhenUsed/>
    <w:qFormat/>
  </w:style>
  <w:style w:type="table" w:styleId="832">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33">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4">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35">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36">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37">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38">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39">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40">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41">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42">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43">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44">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45">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46">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47">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48">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49">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50">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51">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52">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53">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4">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5">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6">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7">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8">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9">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60">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61">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62">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63">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64">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65">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66">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67">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68">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69">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70">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71">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72">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73">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74">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75">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76">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77">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78">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79">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80">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81">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82">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83">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84">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85">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86">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87">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88">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89">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90">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91">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92">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93">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94">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95">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96">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97">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98">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99">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00">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01">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02">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03">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04">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05">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06">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07">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08">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09">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10">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11">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12">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13">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14">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15">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16">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17">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18">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19">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20">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21">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22">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23">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24">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25">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26">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27">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28">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29">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30">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31">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32">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33">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34">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35">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36">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37">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38">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39">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40">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41">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42">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43">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44">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45">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46">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47">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48">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49">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50">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51">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52">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53">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54">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55">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56">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57">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58">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s://&#1087;&#1086;&#1088;&#1090;&#1072;&#1083;-&#1090;&#1087;.&#1088;&#1092;" TargetMode="External"/><Relationship Id="rId11" Type="http://schemas.openxmlformats.org/officeDocument/2006/relationships/hyperlink" Target="mailto:perm-mail@ural.rt.ru" TargetMode="External"/><Relationship Id="rId12" Type="http://schemas.openxmlformats.org/officeDocument/2006/relationships/hyperlink" Target="http://www.torgi.gov.ru/" TargetMode="External"/><Relationship Id="rId13" Type="http://schemas.openxmlformats.org/officeDocument/2006/relationships/hyperlink" Target="http://www.gorodperm.ru/" TargetMode="External"/><Relationship Id="rId14" Type="http://schemas.openxmlformats.org/officeDocument/2006/relationships/hyperlink" Target="http://www.gorodperm.ru/" TargetMode="External"/><Relationship Id="rId15" Type="http://schemas.openxmlformats.org/officeDocument/2006/relationships/hyperlink" Target="https://" TargetMode="External"/><Relationship Id="rId16" Type="http://schemas.openxmlformats.org/officeDocument/2006/relationships/hyperlink" Target="mailto:perm-mail@ural.rt.ru" TargetMode="External"/><Relationship Id="rId17"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65</TotalTime>
  <Application>LibreOffice/7.6.7.2$Linux_X86_64 LibreOffice_project/60$Build-2</Application>
  <AppVersion>15.0000</AppVersion>
  <Pages>25</Pages>
  <Words>7980</Words>
  <Characters>57015</Characters>
  <CharactersWithSpaces>64872</CharactersWithSpaces>
  <Paragraphs>366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Tatyannikova</dc:creator>
  <dc:description/>
  <dc:language>ru-RU</dc:language>
  <cp:lastModifiedBy/>
  <dcterms:modified xsi:type="dcterms:W3CDTF">2025-07-18T17:25:08Z</dcterms:modified>
  <cp:revision>246</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