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23.07.2025 № 059-19-01-11-96</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11.09.2025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23.07.2025 № 059-19-01-11-96.</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26 июня 2025 г. № 21-01-03-5295</w:t>
            </w:r>
            <w:r>
              <w:rPr>
                <w:sz w:val="24"/>
                <w:szCs w:val="24"/>
              </w:rPr>
              <w:t xml:space="preserve">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Пасечная, з/у 36</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59:01:5010065:137</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14.07.2025г. No КУВИ-001/2025-138818926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30.05.2025 № РФ-59-2-03-0-00-2025-1226-0 (далее – ГПЗУ).</w:t>
            </w:r>
          </w:p>
          <w:p>
            <w:pPr>
              <w:pStyle w:val="BodyText"/>
              <w:ind w:firstLine="362"/>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rPr>
              <w:t>На</w:t>
            </w:r>
            <w:r>
              <w:rPr>
                <w:sz w:val="24"/>
                <w:szCs w:val="24"/>
                <w:highlight w:val="white"/>
              </w:rPr>
              <w:t xml:space="preserve"> земельном участке произрастает древесно-кустарниковая растительность.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 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28.05.2025 № 059-39-01-38/3-180, в акте обследования от 28.05.2025 № 26).</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 xml:space="preserve">М 1:1000 (требуется корректура), </w:t>
            </w:r>
            <w:r>
              <w:rPr>
                <w:color w:val="auto"/>
                <w:sz w:val="24"/>
                <w:szCs w:val="24"/>
                <w:highlight w:val="white"/>
              </w:rPr>
              <w:t xml:space="preserve">геодезической съемкой, </w:t>
            </w:r>
            <w:r>
              <w:rPr>
                <w:sz w:val="24"/>
                <w:szCs w:val="24"/>
                <w:highlight w:val="white"/>
              </w:rPr>
              <w:t>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w:t>
              <w:br/>
              <w:t xml:space="preserve">от 14.07.2025 № 637626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 xml:space="preserve">Приаэродромная территория аэродрома аэропорта Большое Савино (Постановление Правительства РФ </w:t>
              <w:br/>
              <w:t>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color w:val="000000"/>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28 шт. дерева породы – береза 6 шт., пихта 18 шт., ель 2 шт., липа 2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27.05.2025 № 132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Управления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br/>
              <w:t>«Об утверждении муниципальной программы «Дорожная деятельность и благоустройство города Перми»,</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 xml:space="preserve">от 15.12.2020 № 277 </w:t>
            </w:r>
            <w:r>
              <w:rPr>
                <w:rFonts w:eastAsia="Times New Roman" w:cs="Times New Roman"/>
                <w:color w:themeColor="text1" w:val="000000"/>
                <w:sz w:val="24"/>
              </w:rPr>
              <w:t>«Об утверждении Правил благоустройства территории города Перми»</w:t>
            </w:r>
            <w:r>
              <w:rPr>
                <w:rFonts w:eastAsia="Times New Roman" w:cs="Times New Roman"/>
                <w:color w:val="000000"/>
                <w:sz w:val="24"/>
              </w:rPr>
              <w:t>,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 дорог и благоустройства администрации города Перми</w:t>
            </w:r>
            <w:r>
              <w:rPr>
                <w:color w:themeColor="text1" w:val="000000"/>
                <w:sz w:val="24"/>
                <w:szCs w:val="24"/>
              </w:rPr>
              <w:t xml:space="preserve"> от 26.05.2025 № 059-24-01-36/3-1772).</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Ближайшее подразделение пожарной охраны расположено по адресу: ул. Белинского, 52 (ПСЧ-5 10-ПСО).</w:t>
            </w:r>
          </w:p>
          <w:p>
            <w:pPr>
              <w:pStyle w:val="Normal"/>
              <w:spacing w:lineRule="auto" w:line="240" w:before="0" w:after="0"/>
              <w:ind w:firstLine="459"/>
              <w:jc w:val="both"/>
              <w:rPr/>
            </w:pPr>
            <w:r>
              <w:rPr>
                <w:color w:themeColor="text1" w:val="000000"/>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При планировке и размещении объектов </w:t>
              <w:br/>
              <w:t>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text1" w:val="000000"/>
                <w:sz w:val="24"/>
                <w:szCs w:val="24"/>
              </w:rPr>
              <w:t xml:space="preserve">Объекты общественной безопасности, отнесенные </w:t>
              <w:br/>
              <w:t>к об</w:t>
            </w:r>
            <w:r>
              <w:rPr>
                <w:color w:val="auto"/>
                <w:sz w:val="24"/>
                <w:szCs w:val="24"/>
              </w:rPr>
              <w:t xml:space="preserve">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23.05.2025 № 059-10-01-27/3-1110).</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color w:themeColor="text1" w:val="000000"/>
              </w:rPr>
            </w:pPr>
            <w:r>
              <w:rPr>
                <w:color w:themeColor="text1" w:val="000000"/>
                <w:sz w:val="24"/>
                <w:szCs w:val="24"/>
                <w:highlight w:val="white"/>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highlight w:val="white"/>
              </w:rPr>
              <w:t>департамента жилищно-коммунального хозяйства администрации города Перми</w:t>
            </w:r>
            <w:r>
              <w:rPr>
                <w:color w:themeColor="text1" w:val="000000"/>
                <w:sz w:val="24"/>
                <w:szCs w:val="24"/>
                <w:highlight w:val="white"/>
              </w:rPr>
              <w:t xml:space="preserve"> от 27.05.2025 № 059-04-17/3-445-ри).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общей комнаты в доме с числом комнат две и более - 16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кухни - 8 м</w:t>
            </w:r>
            <w:r>
              <w:rPr>
                <w:color w:themeColor="text1" w:val="000000"/>
                <w:sz w:val="24"/>
                <w:szCs w:val="24"/>
                <w:vertAlign w:val="superscript"/>
              </w:rPr>
              <w:t>2</w:t>
            </w:r>
            <w:r>
              <w:rPr>
                <w:color w:themeColor="text1" w:val="000000"/>
                <w:sz w:val="24"/>
                <w:szCs w:val="24"/>
              </w:rPr>
              <w:t xml:space="preserve">; кухонной зоны </w:t>
              <w:br/>
              <w:t>в кухне-столовой - 6 м</w:t>
            </w:r>
            <w:r>
              <w:rPr>
                <w:color w:themeColor="text1" w:val="000000"/>
                <w:sz w:val="24"/>
                <w:szCs w:val="24"/>
                <w:vertAlign w:val="superscript"/>
              </w:rPr>
              <w:t>2</w:t>
            </w:r>
            <w:r>
              <w:rPr>
                <w:color w:themeColor="text1" w:val="000000"/>
                <w:sz w:val="24"/>
                <w:szCs w:val="24"/>
              </w:rPr>
              <w:t>. В домах с одной комнатой допускается проектировать кухни или кухни-ниши площадью не менее 5 м</w:t>
            </w:r>
            <w:r>
              <w:rPr>
                <w:color w:themeColor="text1" w:val="000000"/>
                <w:sz w:val="24"/>
                <w:szCs w:val="24"/>
                <w:vertAlign w:val="superscript"/>
              </w:rPr>
              <w:t>2</w:t>
            </w:r>
            <w:r>
              <w:rPr>
                <w:color w:themeColor="text1" w:val="000000"/>
                <w:sz w:val="24"/>
                <w:szCs w:val="24"/>
              </w:rPr>
              <w:t>. 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spacing w:lineRule="auto" w:line="240" w:before="0" w:after="0"/>
              <w:ind w:firstLine="340"/>
              <w:jc w:val="both"/>
              <w:rPr>
                <w:rFonts w:ascii="Times New Roman" w:hAnsi="Times New Roman"/>
                <w:color w:themeColor="text1" w:val="000000"/>
                <w:spacing w:val="-2"/>
                <w:sz w:val="24"/>
                <w:szCs w:val="24"/>
              </w:rPr>
            </w:pPr>
            <w:r>
              <w:rPr>
                <w:color w:themeColor="text1" w:val="000000"/>
                <w:spacing w:val="-2"/>
                <w:sz w:val="24"/>
                <w:szCs w:val="24"/>
              </w:rPr>
              <w:t xml:space="preserve">Согласно пункту 6.2 СП 55.13330.2016 высота (от пола </w:t>
              <w:br/>
              <w:t xml:space="preserve">до потолка) комнат и кухни (кухни-столовой) </w:t>
              <w:br/>
              <w:t xml:space="preserve">в климатических районах строительства IА, IБ, IГ, IД, определяемых по СП 131.13330, должна быть не менее </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жилых комнатах и кухнях, расположенных в этажах </w:t>
              <w:br/>
              <w:t xml:space="preserve">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highlight w:val="white"/>
              </w:rPr>
            </w:pPr>
            <w:r>
              <w:rPr>
                <w:color w:themeColor="text1" w:val="000000"/>
                <w:sz w:val="24"/>
              </w:rPr>
              <w:t xml:space="preserve">Согласно информации, содержащейся в ГПЗУ </w:t>
              <w:br/>
              <w:t>от 30.05.2025 № РФ-59-2-03-0-00-2025-1226-0 (далее – ГПЗУ),</w:t>
            </w:r>
            <w:r>
              <w:rPr>
                <w:color w:themeColor="text1" w:val="000000"/>
                <w:sz w:val="24"/>
                <w:highlight w:val="white"/>
              </w:rPr>
              <w:t xml:space="preserve">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Согласно ГПЗУ минимальный отступ от границ Уч</w:t>
            </w:r>
            <w:r>
              <w:rPr>
                <w:color w:themeColor="text1" w:val="000000"/>
                <w:sz w:val="24"/>
              </w:rPr>
              <w:t xml:space="preserve">астка до места допустимого размещения зданий, строений </w:t>
            </w:r>
            <w:r>
              <w:rPr>
                <w:color w:themeColor="text1" w:val="000000"/>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color w:themeColor="text1" w:val="000000"/>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городские электрические сети»</w:t>
            </w:r>
            <w:r>
              <w:rPr>
                <w:color w:themeColor="text1" w:val="000000"/>
                <w:sz w:val="24"/>
                <w:szCs w:val="24"/>
              </w:rPr>
              <w:t xml:space="preserve">  от 05.06.2025 № ПЭ/ПГЭС/01/01/6737).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27.05.2025 № 51000-32-01829).</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Департамента жилищно-коммунального хозяйства администрации города Перми </w:t>
            </w:r>
            <w:r>
              <w:rPr>
                <w:color w:themeColor="text1" w:val="000000"/>
                <w:sz w:val="24"/>
                <w:szCs w:val="24"/>
              </w:rPr>
              <w:t>от 10.06.2025 № 059-04-25/3-81-ри).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23.06.2025 № ПФ-4321).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rPr>
            </w:pPr>
            <w:r>
              <w:rPr>
                <w:color w:themeColor="text1" w:val="000000"/>
                <w:sz w:val="24"/>
                <w:szCs w:val="24"/>
              </w:rPr>
              <w:t xml:space="preserve">О наличии технической возможности для подключения сетей водоснабжения и водоотведения с предполагаемой величиной нагрузки 1,0 м3/сут. сообщается, </w:t>
              <w:br/>
              <w:t>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w:t>
              <w:br/>
              <w:t xml:space="preserve">         Ближайшие сети водоотведения, эксплуатируемой ООО «НОВОГОР- Прикамье», располагаются в районе здания по ул. Героев Хасана, 109/2 ориентировочно </w:t>
              <w:br/>
              <w:t>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системе водоснабжения </w:t>
              <w:br/>
              <w:t>(от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22.05.2025 № 110-7078).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w:t>
              <w:br/>
              <w:t xml:space="preserve">тел.: (342) 235-57-34 или направить запрос </w:t>
              <w:br/>
              <w:t xml:space="preserve">на </w:t>
            </w:r>
            <w:hyperlink r:id="rId10">
              <w:r>
                <w:rPr>
                  <w:rStyle w:val="Hyperlink"/>
                  <w:b w:val="false"/>
                  <w:bCs w:val="false"/>
                  <w:color w:themeColor="text1" w:val="000000"/>
                  <w:sz w:val="24"/>
                  <w:szCs w:val="24"/>
                </w:rPr>
                <w:t>perm-mail@ural.rt.ru</w:t>
              </w:r>
            </w:hyperlink>
            <w:r>
              <w:rPr>
                <w:b w:val="false"/>
                <w:bCs w:val="false"/>
                <w:color w:themeColor="text1" w:val="000000"/>
                <w:sz w:val="24"/>
                <w:szCs w:val="24"/>
              </w:rPr>
              <w:t>.</w:t>
            </w:r>
          </w:p>
          <w:p>
            <w:pPr>
              <w:pStyle w:val="Normal"/>
              <w:spacing w:lineRule="auto" w:line="240" w:before="0" w:after="0"/>
              <w:ind w:firstLine="452"/>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30.05.2025 № 01/05/81118/25).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2 385 000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119 250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1 192 500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15.04.2025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315"/>
        <w:gridCol w:w="681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31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 xml:space="preserve"> от</w:t>
            </w:r>
            <w:r>
              <w:rPr>
                <w:sz w:val="28"/>
                <w:szCs w:val="28"/>
              </w:rPr>
              <w:t xml:space="preserve"> </w:t>
            </w:r>
            <w:r>
              <w:rPr>
                <w:sz w:val="24"/>
                <w:szCs w:val="28"/>
              </w:rPr>
              <w:t>26 июня 2025 г. № 21-01-03-5297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Пасечная, з/у 40</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1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1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59:01:5010065:133</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1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1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1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1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14.07.2025г. No КУВИ-001/2025-138963869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30.05.2025 № РФ-59-2-03-0-00-2025-1225-0 (далее – ГПЗУ).</w:t>
            </w:r>
          </w:p>
          <w:p>
            <w:pPr>
              <w:pStyle w:val="BodyText"/>
              <w:ind w:firstLine="362"/>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highlight w:val="white"/>
              </w:rPr>
              <w:t>На территории произростает  древесно-кустарниковая растительность.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 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28.05.2025 № 059-39-01-38/3-180, в акте выездного обследования от 28.05.2025 № 24).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М 1:500 (требуется корректура), геодезической съемкой, 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w:t>
              <w:br/>
              <w:t xml:space="preserve">от 14.07.2025 № 637677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Приаэродромная территория аэродрома аэропорта Большое Савино (Постановление Правительства РФ 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color w:val="000000"/>
                <w:spacing w:val="-6"/>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 xml:space="preserve">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w:t>
              <w:br/>
              <w:t>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26 шт. дерева породы – пихта 12 шт., ель 5 шт., липа 9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перечне мероприятий по охране окружающей среды от 27.05.2025 № 131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color w:themeColor="text1" w:val="000000"/>
                <w:spacing w:val="0"/>
                <w:sz w:val="24"/>
                <w:szCs w:val="24"/>
              </w:rPr>
              <w:t>Управления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059-33-01-10/3-284).</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 «Об утверждении муниципальной программы «Дорожная деятельность и благоустройство города Перми»,</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w:t>
              <w:br/>
              <w:t xml:space="preserve">от 15.12.2020 № 277 </w:t>
            </w:r>
            <w:r>
              <w:rPr>
                <w:rFonts w:eastAsia="Times New Roman" w:cs="Times New Roman"/>
                <w:color w:themeColor="text1" w:val="000000"/>
                <w:sz w:val="24"/>
              </w:rPr>
              <w:t>«Об утверждении Правил благоустройства территории города Перми»</w:t>
            </w:r>
            <w:r>
              <w:rPr>
                <w:rFonts w:eastAsia="Times New Roman" w:cs="Times New Roman"/>
                <w:color w:val="000000"/>
                <w:sz w:val="24"/>
              </w:rPr>
              <w:t>,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 xml:space="preserve">В соответствии с Федеральным Законом </w:t>
              <w:br/>
              <w:t xml:space="preserve">от 08.11.2007 № 257-ФЗ «Об автомобильных дорогах </w:t>
              <w:br/>
              <w:t xml:space="preserve">и о дорожной деятельности в Российской Федерации </w:t>
              <w:br/>
              <w:t xml:space="preserve">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w:t>
              <w:br/>
              <w:t xml:space="preserve">на выполнение дополнительных работ, связанных </w:t>
              <w:br/>
              <w:t xml:space="preserve">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дорог и благоустройства администрации города Перми</w:t>
            </w:r>
            <w:r>
              <w:rPr>
                <w:color w:themeColor="text1" w:val="000000"/>
                <w:sz w:val="24"/>
                <w:szCs w:val="24"/>
              </w:rPr>
              <w:t xml:space="preserve"> от 26.05.2025 № 059-24-01-36/3-1772).</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pPr>
            <w:r>
              <w:rPr>
                <w:color w:themeColor="text1" w:val="000000"/>
                <w:sz w:val="24"/>
                <w:szCs w:val="24"/>
              </w:rPr>
              <w:t>Источники противопожарного водоснабжения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Информация о подразделениях пожарной охраны </w:t>
              <w:br/>
              <w:t>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Ближайшее подразделение пожарной охраны расположено по адресу: ул. Белинского, 52 (ПСЧ-5 10-ПСО).</w:t>
            </w:r>
          </w:p>
          <w:p>
            <w:pPr>
              <w:pStyle w:val="Normal"/>
              <w:spacing w:lineRule="auto" w:line="240" w:before="0" w:after="0"/>
              <w:ind w:firstLine="459"/>
              <w:jc w:val="both"/>
              <w:rPr/>
            </w:pPr>
            <w:r>
              <w:rPr>
                <w:color w:themeColor="text1" w:val="000000"/>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 xml:space="preserve">При планировке и размещении объектов </w:t>
              <w:br/>
              <w:t xml:space="preserve">на вышеуказанной территории необходимо соблюдать нормы и требования действующего законодательства: федеральных законов от 21 декабря 1994 г. № 69-ФЗ </w:t>
              <w:br/>
              <w:t>«О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accent1" w:themeShade="bf" w:val="366191"/>
                <w:sz w:val="24"/>
                <w:szCs w:val="24"/>
              </w:rPr>
              <w:t>О</w:t>
            </w:r>
            <w:r>
              <w:rPr>
                <w:color w:val="auto"/>
                <w:sz w:val="24"/>
                <w:szCs w:val="24"/>
              </w:rPr>
              <w:t xml:space="preserve">бъекты общественной безопасности, отнесенные </w:t>
              <w:br/>
              <w:t xml:space="preserve">к объектам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 964-с), данная территория попадает 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23.05.2025 № 059-10-01-27/3-1110).</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color w:themeColor="text1" w:val="000000"/>
              </w:rPr>
            </w:pPr>
            <w:r>
              <w:rPr>
                <w:color w:themeColor="text1" w:val="000000"/>
                <w:sz w:val="24"/>
                <w:szCs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Cs w:val="24"/>
              </w:rPr>
              <w:t xml:space="preserve">(Аналогичная информация отражена в письме  </w:t>
            </w:r>
            <w:r>
              <w:rPr>
                <w:b/>
                <w:color w:themeColor="text1" w:val="000000"/>
                <w:sz w:val="24"/>
                <w:szCs w:val="24"/>
              </w:rPr>
              <w:t>департамента жилищно-коммунального хозяйства администрации города Перми</w:t>
            </w:r>
            <w:r>
              <w:rPr>
                <w:color w:themeColor="text1" w:val="000000"/>
                <w:sz w:val="24"/>
                <w:szCs w:val="24"/>
              </w:rPr>
              <w:t xml:space="preserve"> от 27.05.2025 № 059-04-17/3-445-ри).</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1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w:t>
            </w:r>
            <w:r>
              <w:rPr>
                <w:color w:themeColor="text1" w:val="000000"/>
                <w:sz w:val="24"/>
                <w:szCs w:val="24"/>
                <w:vertAlign w:val="superscript"/>
              </w:rPr>
              <w:t>2</w:t>
            </w:r>
            <w:r>
              <w:rPr>
                <w:color w:themeColor="text1" w:val="000000"/>
                <w:sz w:val="24"/>
                <w:szCs w:val="24"/>
              </w:rPr>
              <w:t>, общей комнаты в доме с числом комнат две и более - 16 м</w:t>
            </w:r>
            <w:r>
              <w:rPr>
                <w:color w:themeColor="text1" w:val="000000"/>
                <w:sz w:val="24"/>
                <w:szCs w:val="24"/>
                <w:vertAlign w:val="superscript"/>
              </w:rPr>
              <w:t>2</w:t>
            </w:r>
            <w:r>
              <w:rPr>
                <w:color w:themeColor="text1" w:val="000000"/>
                <w:sz w:val="24"/>
                <w:szCs w:val="24"/>
              </w:rPr>
              <w:t>, спальни - 8 м</w:t>
            </w:r>
            <w:r>
              <w:rPr>
                <w:color w:themeColor="text1" w:val="000000"/>
                <w:sz w:val="24"/>
                <w:szCs w:val="24"/>
                <w:vertAlign w:val="superscript"/>
              </w:rPr>
              <w:t>2</w:t>
            </w:r>
            <w:r>
              <w:rPr>
                <w:color w:themeColor="text1" w:val="000000"/>
                <w:sz w:val="24"/>
                <w:szCs w:val="24"/>
              </w:rPr>
              <w:t xml:space="preserve"> (на двух человек - 10 м</w:t>
            </w:r>
            <w:r>
              <w:rPr>
                <w:color w:themeColor="text1" w:val="000000"/>
                <w:sz w:val="24"/>
                <w:szCs w:val="24"/>
                <w:vertAlign w:val="superscript"/>
              </w:rPr>
              <w:t>2</w:t>
            </w:r>
            <w:r>
              <w:rPr>
                <w:color w:themeColor="text1" w:val="000000"/>
                <w:sz w:val="24"/>
                <w:szCs w:val="24"/>
              </w:rPr>
              <w:t>); кухни - 8 м</w:t>
            </w:r>
            <w:r>
              <w:rPr>
                <w:color w:themeColor="text1" w:val="000000"/>
                <w:sz w:val="24"/>
                <w:szCs w:val="24"/>
                <w:vertAlign w:val="superscript"/>
              </w:rPr>
              <w:t>2</w:t>
            </w:r>
            <w:r>
              <w:rPr>
                <w:color w:themeColor="text1" w:val="000000"/>
                <w:sz w:val="24"/>
                <w:szCs w:val="24"/>
              </w:rPr>
              <w:t xml:space="preserve">; кухонной зоны </w:t>
              <w:br/>
              <w:t>в кухне-столовой - 6 м</w:t>
            </w:r>
            <w:r>
              <w:rPr>
                <w:color w:themeColor="text1" w:val="000000"/>
                <w:sz w:val="24"/>
                <w:szCs w:val="24"/>
                <w:vertAlign w:val="superscript"/>
              </w:rPr>
              <w:t>2</w:t>
            </w:r>
            <w:r>
              <w:rPr>
                <w:color w:themeColor="text1" w:val="000000"/>
                <w:sz w:val="24"/>
                <w:szCs w:val="24"/>
              </w:rPr>
              <w:t>. В домах с одной комнатой допускается проектировать кухни или кухни-ниши площадью не менее 5 м</w:t>
            </w:r>
            <w:r>
              <w:rPr>
                <w:color w:themeColor="text1" w:val="000000"/>
                <w:sz w:val="24"/>
                <w:szCs w:val="24"/>
                <w:vertAlign w:val="superscript"/>
              </w:rPr>
              <w:t>2</w:t>
            </w:r>
            <w:r>
              <w:rPr>
                <w:color w:themeColor="text1" w:val="000000"/>
                <w:sz w:val="24"/>
                <w:szCs w:val="24"/>
              </w:rPr>
              <w:t>. Площадь спальни и кухни в мансардном этаже (или этаже с наклонными ограждающими конструкциями) допускается не менее 7 м</w:t>
            </w:r>
            <w:r>
              <w:rPr>
                <w:color w:themeColor="text1" w:val="000000"/>
                <w:sz w:val="24"/>
                <w:szCs w:val="24"/>
                <w:vertAlign w:val="superscript"/>
              </w:rPr>
              <w:t>2</w:t>
            </w:r>
            <w:r>
              <w:rPr>
                <w:color w:themeColor="text1" w:val="000000"/>
                <w:sz w:val="24"/>
                <w:szCs w:val="24"/>
              </w:rPr>
              <w:t xml:space="preserve"> при условии, что общая жилая комната имеет площадь не менее 16 м</w:t>
            </w:r>
            <w:r>
              <w:rPr>
                <w:color w:themeColor="text1" w:val="000000"/>
                <w:sz w:val="24"/>
                <w:szCs w:val="24"/>
                <w:vertAlign w:val="superscript"/>
              </w:rPr>
              <w:t>2</w:t>
            </w:r>
            <w:r>
              <w:rPr>
                <w:color w:themeColor="text1" w:val="000000"/>
                <w:sz w:val="24"/>
                <w:szCs w:val="24"/>
              </w:rPr>
              <w:t>.</w:t>
            </w:r>
          </w:p>
          <w:p>
            <w:pPr>
              <w:pStyle w:val="Normal"/>
              <w:spacing w:lineRule="auto" w:line="240" w:before="0" w:after="0"/>
              <w:ind w:firstLine="340"/>
              <w:jc w:val="both"/>
              <w:rPr>
                <w:rFonts w:ascii="Times New Roman" w:hAnsi="Times New Roman"/>
                <w:color w:themeColor="text1" w:val="000000"/>
                <w:spacing w:val="-2"/>
                <w:sz w:val="24"/>
                <w:szCs w:val="24"/>
              </w:rPr>
            </w:pPr>
            <w:r>
              <w:rPr>
                <w:color w:themeColor="text1" w:val="000000"/>
                <w:spacing w:val="-2"/>
                <w:sz w:val="24"/>
                <w:szCs w:val="24"/>
              </w:rPr>
              <w:t xml:space="preserve">Согласно пункту 6.2 СП 55.13330.2016 высота (от пола </w:t>
              <w:br/>
              <w:t xml:space="preserve">до потолка) комнат и кухни (кухни-столовой) </w:t>
              <w:br/>
              <w:t>в климатических районах строительства IА, IБ, IГ, IД, определяемых по СП 131.13330, должна быть не менее</w:t>
              <w:br/>
              <w:t xml:space="preserve">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w:t>
              <w:br/>
              <w:t>а высота пути эвакуации - не менее 2,2 м.</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sz w:val="24"/>
                <w:szCs w:val="24"/>
              </w:rPr>
              <w:t xml:space="preserve">В жилых комнатах и кухнях, расположенных в этажах </w:t>
              <w:br/>
              <w:t xml:space="preserve">с наклонными ограждающими конструкциями или </w:t>
              <w:br/>
              <w:t>в мансардном этаже, допускается уменьшение высоты помещений (от пола до потолка), относительно нормируемой на площади, не превышающей 50%.</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highlight w:val="white"/>
              </w:rPr>
            </w:pPr>
            <w:r>
              <w:rPr>
                <w:color w:themeColor="text1" w:val="000000"/>
                <w:sz w:val="24"/>
              </w:rPr>
              <w:t xml:space="preserve">Согласно информации, содержащейся в ГПЗУ </w:t>
              <w:br/>
              <w:t>от 30.05.2025 № РФ-59-2-03-0-00-2025-1225-0 (далее – ГПЗУ),</w:t>
            </w:r>
            <w:r>
              <w:rPr>
                <w:color w:themeColor="text1" w:val="000000"/>
                <w:sz w:val="24"/>
                <w:highlight w:val="white"/>
              </w:rPr>
              <w:t xml:space="preserve"> документации по планировке территории, утвержденной постановлением администрации города Перми от 22.12.2017 № 1178, возможная предельная высота жилой застройки - до 10,5 метров.</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highlight w:val="white"/>
              </w:rPr>
              <w:t>Согласно ГПЗУ минимальный отступ от границ Уч</w:t>
            </w:r>
            <w:r>
              <w:rPr>
                <w:color w:themeColor="text1" w:val="000000"/>
                <w:sz w:val="24"/>
              </w:rPr>
              <w:t xml:space="preserve">астка до места допустимого размещения зданий, строений </w:t>
            </w:r>
            <w:r>
              <w:rPr>
                <w:color w:themeColor="text1" w:val="000000"/>
                <w:sz w:val="24"/>
                <w:szCs w:val="24"/>
              </w:rPr>
              <w:t>(за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w:t>
            </w:r>
            <w:r>
              <w:rPr>
                <w:color w:themeColor="text1" w:val="000000"/>
                <w:sz w:val="24"/>
              </w:rPr>
              <w:t xml:space="preserve"> – 3 м.</w:t>
            </w:r>
          </w:p>
          <w:p>
            <w:pPr>
              <w:pStyle w:val="Normal"/>
              <w:tabs>
                <w:tab w:val="clear" w:pos="708"/>
                <w:tab w:val="right" w:pos="6000" w:leader="none"/>
              </w:tabs>
              <w:spacing w:lineRule="auto" w:line="240" w:before="0" w:after="0"/>
              <w:ind w:firstLine="340"/>
              <w:jc w:val="both"/>
              <w:rPr>
                <w:rFonts w:ascii="Times New Roman" w:hAnsi="Times New Roman"/>
                <w:color w:themeColor="text1" w:val="000000"/>
                <w:sz w:val="24"/>
              </w:rPr>
            </w:pPr>
            <w:r>
              <w:rPr>
                <w:color w:themeColor="text1" w:val="000000"/>
                <w:sz w:val="24"/>
              </w:rPr>
              <w:t xml:space="preserve">Максимальный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 xml:space="preserve">не менее 4,5 м над территорией общего пользования, составляет не более 1,2 м от красной линии. </w:t>
              <w:b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40"/>
              <w:jc w:val="both"/>
              <w:rPr>
                <w:rFonts w:ascii="Times New Roman" w:hAnsi="Times New Roman"/>
                <w:color w:themeColor="text1" w:val="000000"/>
                <w:sz w:val="24"/>
              </w:rPr>
            </w:pPr>
            <w:r>
              <w:rPr>
                <w:color w:themeColor="text1" w:val="000000"/>
                <w:sz w:val="24"/>
              </w:rPr>
              <w:t>Максимальный процент застройки в границах Участка – 30%.</w:t>
            </w:r>
          </w:p>
          <w:p>
            <w:pPr>
              <w:pStyle w:val="Normal"/>
              <w:spacing w:lineRule="auto" w:line="240" w:before="0" w:after="0"/>
              <w:ind w:firstLine="340"/>
              <w:jc w:val="both"/>
              <w:rPr>
                <w:rFonts w:ascii="Times New Roman" w:hAnsi="Times New Roman"/>
                <w:color w:themeColor="text1" w:val="000000"/>
                <w:sz w:val="24"/>
                <w:szCs w:val="24"/>
              </w:rPr>
            </w:pPr>
            <w:r>
              <w:rPr>
                <w:color w:themeColor="text1" w:val="000000"/>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31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1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 xml:space="preserve">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w:t>
              <w:br/>
              <w:t>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В силу пункта 6 Правил ТП технологическое присоединение осуществляется на основании договора заключаемого между сетевой организацией </w:t>
              <w:br/>
              <w:t>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w:t>
              <w:br/>
              <w:t>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 xml:space="preserve">городские электрические сети» </w:t>
            </w:r>
            <w:r>
              <w:rPr>
                <w:color w:themeColor="text1" w:val="000000"/>
                <w:sz w:val="24"/>
                <w:szCs w:val="24"/>
              </w:rPr>
              <w:t>от 05.06.2025 № ПЭ/ПГЭС/01/01/6737).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27.05.2025 № 51000-32-01829).</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Департамента жилищно-коммунального хозяйства администрации города Перми </w:t>
            </w:r>
            <w:r>
              <w:rPr>
                <w:color w:themeColor="text1" w:val="000000"/>
                <w:sz w:val="24"/>
                <w:szCs w:val="24"/>
              </w:rPr>
              <w:t xml:space="preserve"> от 10.06.2025 № 059-04-25/3-81-ри).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23.06.2025 № ПФ-4321).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w:t>
              <w:br/>
              <w:t xml:space="preserve">         Ближайшие сети водоотведения, эксплуатируемой ООО «НОВОГОР- Прикамье», располагаются в районе здания по ул. Героев Хасана, 109/2 ориентировочно 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 xml:space="preserve">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w:t>
              <w:br/>
              <w:t>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 xml:space="preserve">Кроме того, ООО «НОВОГОР-Прикамье» </w:t>
              <w:br/>
              <w:t xml:space="preserve">не располагает сведениями о наличии сетей 3-х лиц </w:t>
              <w:br/>
              <w:t>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22.05.2025 № 110-7078).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 (г.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color w:themeColor="text1" w:val="000000"/>
                <w:szCs w:val="24"/>
              </w:rPr>
              <w:t xml:space="preserve">Для получения технических условий на подключение к сетям связи необходимо обратиться в Отдел продаж </w:t>
              <w:br/>
              <w:t xml:space="preserve">и обслуживания по адресу: г. Пермь, ул. Крупской, 2, тел.:(342) 235-57-34 или направить запрос на </w:t>
            </w:r>
            <w:hyperlink r:id="rId12">
              <w:r>
                <w:rPr>
                  <w:rStyle w:val="Hyperlink"/>
                  <w:b w:val="false"/>
                  <w:bCs w:val="false"/>
                  <w:color w:themeColor="text1" w:val="000000"/>
                  <w:szCs w:val="24"/>
                </w:rPr>
                <w:t>perm-mail@ural.rt.ru</w:t>
              </w:r>
            </w:hyperlink>
            <w:r>
              <w:rPr>
                <w:b w:val="false"/>
                <w:bCs w:val="false"/>
                <w:color w:themeColor="text1" w:val="000000"/>
                <w:szCs w:val="24"/>
              </w:rPr>
              <w:t>.</w:t>
            </w:r>
          </w:p>
          <w:p>
            <w:pPr>
              <w:pStyle w:val="Normal"/>
              <w:spacing w:lineRule="auto" w:line="240" w:before="0" w:after="0"/>
              <w:ind w:firstLine="452"/>
              <w:jc w:val="both"/>
              <w:rPr>
                <w:rFonts w:ascii="Times New Roman" w:hAnsi="Times New Roman"/>
                <w:color w:themeColor="text1" w:val="000000"/>
                <w:sz w:val="24"/>
                <w:szCs w:val="24"/>
                <w:highlight w:val="none"/>
              </w:rPr>
            </w:pPr>
            <w:r>
              <w:rPr>
                <w:b w:val="false"/>
                <w:bCs w:val="false"/>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30.05.2025 № 01/05/81118/25).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3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3 к настоящему извещению)</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2 385 000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119 250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1 192 500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31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1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15.04.2025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31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1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24.07.2025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09.09.2025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10.09.2025.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11.09</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3"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24.07.2025 по 09.09.2025.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24.07.2025 по 09.09.2025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2-3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4"/>
      <w:headerReference w:type="first" r:id="rId15"/>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24</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mailto:perm-mail@ural.rt.ru" TargetMode="External"/><Relationship Id="rId11" Type="http://schemas.openxmlformats.org/officeDocument/2006/relationships/hyperlink" Target="http://www.gorodperm.ru/" TargetMode="External"/><Relationship Id="rId12" Type="http://schemas.openxmlformats.org/officeDocument/2006/relationships/hyperlink" Target="mailto:perm-mail@ural.rt.ru" TargetMode="External"/><Relationship Id="rId13" Type="http://schemas.openxmlformats.org/officeDocument/2006/relationships/hyperlink" Target="http://utp.sberbank-ast.ru/AP/Notice/653/Requisit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169</TotalTime>
  <Application>LibreOffice/7.6.7.2$Linux_X86_64 LibreOffice_project/60$Build-2</Application>
  <AppVersion>15.0000</AppVersion>
  <Pages>24</Pages>
  <Words>7727</Words>
  <Characters>54925</Characters>
  <CharactersWithSpaces>62505</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2025-07-23T13:59:10Z</dcterms:modified>
  <cp:revision>290</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