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ind w:hanging="0" w:left="0"/>
        <w:jc w:val="center"/>
        <w:outlineLvl w:val="0"/>
        <w:rPr>
          <w:sz w:val="28"/>
          <w:szCs w:val="28"/>
        </w:rPr>
      </w:pPr>
      <w:r>
        <w:rPr>
          <w:sz w:val="28"/>
          <w:szCs w:val="28"/>
        </w:rPr>
        <w:t>Департамент имущественных отношений администрации города Перми</w:t>
      </w:r>
    </w:p>
    <w:p>
      <w:pPr>
        <w:pStyle w:val="Normal"/>
        <w:rPr>
          <w:sz w:val="28"/>
          <w:szCs w:val="28"/>
        </w:rPr>
      </w:pPr>
      <w:r>
        <w:rPr>
          <w:sz w:val="28"/>
          <w:szCs w:val="28"/>
        </w:rPr>
      </w:r>
    </w:p>
    <w:p>
      <w:pPr>
        <w:pStyle w:val="Normal"/>
        <w:numPr>
          <w:ilvl w:val="0"/>
          <w:numId w:val="0"/>
        </w:numPr>
        <w:ind w:hanging="0" w:left="0"/>
        <w:jc w:val="center"/>
        <w:outlineLvl w:val="0"/>
        <w:rPr>
          <w:b/>
          <w:sz w:val="28"/>
          <w:szCs w:val="28"/>
        </w:rPr>
      </w:pPr>
      <w:r>
        <w:rPr>
          <w:b/>
          <w:sz w:val="28"/>
          <w:szCs w:val="28"/>
        </w:rPr>
        <w:t xml:space="preserve">Протокол рассмотрения заявок на участие в электронных аукционах </w:t>
      </w:r>
    </w:p>
    <w:p>
      <w:pPr>
        <w:pStyle w:val="Normal"/>
        <w:numPr>
          <w:ilvl w:val="0"/>
          <w:numId w:val="0"/>
        </w:numPr>
        <w:ind w:hanging="0" w:left="0"/>
        <w:jc w:val="center"/>
        <w:outlineLvl w:val="0"/>
        <w:rPr>
          <w:b/>
          <w:sz w:val="28"/>
          <w:szCs w:val="28"/>
        </w:rPr>
      </w:pPr>
      <w:r>
        <w:rPr>
          <w:b/>
          <w:sz w:val="28"/>
          <w:szCs w:val="28"/>
        </w:rPr>
        <w:t>на право заключения договоров аренды земельных участков</w:t>
      </w:r>
    </w:p>
    <w:p>
      <w:pPr>
        <w:pStyle w:val="Normal"/>
        <w:numPr>
          <w:ilvl w:val="0"/>
          <w:numId w:val="0"/>
        </w:numPr>
        <w:ind w:hanging="0" w:left="0"/>
        <w:outlineLvl w:val="0"/>
        <w:rPr>
          <w:sz w:val="28"/>
          <w:szCs w:val="28"/>
        </w:rPr>
      </w:pPr>
      <w:r>
        <w:rPr>
          <w:sz w:val="28"/>
          <w:szCs w:val="28"/>
        </w:rPr>
      </w:r>
    </w:p>
    <w:p>
      <w:pPr>
        <w:pStyle w:val="Normal"/>
        <w:jc w:val="both"/>
        <w:rPr>
          <w:sz w:val="28"/>
          <w:szCs w:val="28"/>
        </w:rPr>
      </w:pPr>
      <w:r>
        <w:rPr>
          <w:sz w:val="28"/>
          <w:szCs w:val="28"/>
        </w:rPr>
        <w:t xml:space="preserve">г. Пермь, ул. Сибирская, д.14, каб.2                      </w:t>
        <w:tab/>
        <w:t xml:space="preserve">                                </w:t>
      </w:r>
      <w:r>
        <w:rPr>
          <w:sz w:val="28"/>
          <w:szCs w:val="28"/>
        </w:rPr>
        <w:t>23</w:t>
      </w:r>
      <w:r>
        <w:rPr>
          <w:sz w:val="28"/>
          <w:szCs w:val="28"/>
        </w:rPr>
        <w:t xml:space="preserve">.07.2025 </w:t>
      </w:r>
    </w:p>
    <w:p>
      <w:pPr>
        <w:pStyle w:val="Normal"/>
        <w:jc w:val="both"/>
        <w:rPr>
          <w:sz w:val="28"/>
          <w:szCs w:val="28"/>
        </w:rPr>
      </w:pPr>
      <w:r>
        <w:rPr>
          <w:sz w:val="28"/>
          <w:szCs w:val="28"/>
        </w:rPr>
      </w:r>
    </w:p>
    <w:p>
      <w:pPr>
        <w:pStyle w:val="Normal"/>
        <w:tabs>
          <w:tab w:val="clear" w:pos="708"/>
          <w:tab w:val="left" w:pos="2805" w:leader="none"/>
        </w:tabs>
        <w:spacing w:lineRule="auto" w:line="276"/>
        <w:ind w:firstLine="720"/>
        <w:jc w:val="both"/>
        <w:rPr/>
      </w:pPr>
      <w:r>
        <w:rPr>
          <w:sz w:val="28"/>
          <w:szCs w:val="28"/>
        </w:rPr>
        <w:t xml:space="preserve">Комиссия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w:t>
      </w:r>
      <w:r>
        <w:rPr>
          <w:sz w:val="28"/>
          <w:szCs w:val="28"/>
        </w:rPr>
        <w:br w:type="textWrapping" w:clear="all"/>
      </w:r>
      <w:r>
        <w:rPr>
          <w:sz w:val="28"/>
          <w:szCs w:val="28"/>
        </w:rPr>
        <w:t xml:space="preserve">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утвержденная постановлением администрации города Перми от 20.11.2008 № 1089,  в  составе: </w:t>
      </w:r>
    </w:p>
    <w:p>
      <w:pPr>
        <w:pStyle w:val="Normal"/>
        <w:spacing w:lineRule="auto" w:line="276"/>
        <w:jc w:val="both"/>
        <w:rPr/>
      </w:pPr>
      <w:r>
        <w:rPr>
          <w:sz w:val="28"/>
          <w:szCs w:val="28"/>
          <w:highlight w:val="yellow"/>
        </w:rPr>
        <w:t xml:space="preserve">             </w:t>
      </w:r>
    </w:p>
    <w:p>
      <w:pPr>
        <w:pStyle w:val="Normal"/>
        <w:widowControl/>
        <w:spacing w:lineRule="auto" w:line="276" w:before="0" w:after="120"/>
        <w:ind w:hanging="3000" w:left="3000" w:right="0"/>
        <w:jc w:val="both"/>
        <w:rPr>
          <w:sz w:val="28"/>
          <w:szCs w:val="28"/>
          <w:lang w:eastAsia="en-US"/>
        </w:rPr>
      </w:pPr>
      <w:r>
        <w:rPr>
          <w:sz w:val="28"/>
          <w:szCs w:val="28"/>
          <w:lang w:eastAsia="en-US"/>
        </w:rPr>
        <w:t xml:space="preserve">Председатель комиссии: Хаткевич А.А. начальник департамента имущественных отношений администрации города Перми;   </w:t>
      </w:r>
    </w:p>
    <w:p>
      <w:pPr>
        <w:pStyle w:val="Normal"/>
        <w:widowControl/>
        <w:spacing w:lineRule="auto" w:line="276" w:before="0" w:after="120"/>
        <w:ind w:hanging="4680" w:left="4680" w:right="0"/>
        <w:jc w:val="both"/>
        <w:rPr/>
      </w:pPr>
      <w:r>
        <w:rPr>
          <w:sz w:val="28"/>
          <w:szCs w:val="28"/>
          <w:lang w:eastAsia="en-US"/>
        </w:rPr>
        <w:t xml:space="preserve">Заместитель председателя комиссии: Шафранова Е.П., заместитель начальника департамента земельных отношений администрации города Перми;  </w:t>
      </w:r>
    </w:p>
    <w:p>
      <w:pPr>
        <w:pStyle w:val="Normal"/>
        <w:widowControl/>
        <w:spacing w:lineRule="auto" w:line="276" w:before="0" w:after="0"/>
        <w:ind w:hanging="2891" w:left="2891" w:right="0"/>
        <w:jc w:val="both"/>
        <w:rPr>
          <w:rFonts w:ascii="Times New Roman" w:hAnsi="Times New Roman" w:eastAsia="Droid Sans Fallback" w:cs="Lohit Devanagari"/>
          <w:color w:val="auto"/>
          <w:sz w:val="28"/>
          <w:szCs w:val="28"/>
          <w:lang w:val="ru-RU" w:eastAsia="en-US" w:bidi="ar-SA"/>
        </w:rPr>
      </w:pPr>
      <w:r>
        <w:rPr>
          <w:rFonts w:eastAsia="Droid Sans Fallback" w:cs="Lohit Devanagari"/>
          <w:color w:val="auto"/>
          <w:sz w:val="28"/>
          <w:szCs w:val="28"/>
          <w:lang w:val="ru-RU" w:eastAsia="en-US" w:bidi="ar-SA"/>
        </w:rPr>
        <w:t>Секретарь комиссии: Павлова О.И.,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widowControl/>
        <w:spacing w:lineRule="auto" w:line="276" w:before="0" w:after="0"/>
        <w:ind w:hanging="2160" w:left="2160" w:right="0"/>
        <w:jc w:val="both"/>
        <w:rPr>
          <w:rFonts w:ascii="Times New Roman" w:hAnsi="Times New Roman" w:eastAsia="Droid Sans Fallback" w:cs="Lohit Devanagari"/>
          <w:color w:val="auto"/>
          <w:sz w:val="28"/>
          <w:szCs w:val="28"/>
          <w:lang w:val="ru-RU" w:eastAsia="en-US" w:bidi="ar-SA"/>
        </w:rPr>
      </w:pPr>
      <w:r>
        <w:rPr>
          <w:rFonts w:eastAsia="Droid Sans Fallback" w:cs="Lohit Devanagari"/>
          <w:color w:val="auto"/>
          <w:sz w:val="28"/>
          <w:szCs w:val="28"/>
          <w:lang w:val="ru-RU" w:eastAsia="en-US" w:bidi="ar-SA"/>
        </w:rPr>
        <w:t xml:space="preserve">Член комиссии: </w:t>
      </w:r>
      <w:r>
        <w:rPr>
          <w:rFonts w:eastAsia="Droid Sans Fallback" w:cs="Lohit Devanagari"/>
          <w:color w:val="auto"/>
          <w:sz w:val="28"/>
          <w:szCs w:val="28"/>
          <w:lang w:val="ru-RU" w:eastAsia="en-US" w:bidi="ar-SA"/>
        </w:rPr>
        <w:t xml:space="preserve">Камских О.И., </w:t>
      </w:r>
      <w:r>
        <w:rPr>
          <w:rFonts w:eastAsia="Droid Sans Fallback" w:cs="Lohit Devanagari"/>
          <w:color w:val="auto"/>
          <w:sz w:val="28"/>
          <w:szCs w:val="28"/>
          <w:lang w:val="ru-RU" w:eastAsia="en-US" w:bidi="ar-SA"/>
        </w:rPr>
        <w:t>начальник отдела сопровождения договоров департамента земельных отношений администрации города Перми,</w:t>
      </w:r>
    </w:p>
    <w:p>
      <w:pPr>
        <w:pStyle w:val="Normal"/>
        <w:spacing w:lineRule="auto" w:line="276"/>
        <w:ind w:hanging="0" w:left="1843"/>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spacing w:lineRule="auto" w:line="276" w:before="0" w:after="0"/>
        <w:ind w:hanging="0" w:left="0" w:right="0"/>
        <w:jc w:val="both"/>
        <w:rPr/>
      </w:pPr>
      <w:r>
        <w:rPr>
          <w:sz w:val="28"/>
          <w:szCs w:val="28"/>
        </w:rPr>
        <w:t xml:space="preserve">рассмотрев заявки на участие в </w:t>
      </w:r>
      <w:r>
        <w:rPr>
          <w:sz w:val="28"/>
          <w:szCs w:val="28"/>
          <w:lang w:val="ru-RU"/>
        </w:rPr>
        <w:t xml:space="preserve">электронных </w:t>
      </w:r>
      <w:r>
        <w:rPr>
          <w:sz w:val="28"/>
          <w:szCs w:val="28"/>
        </w:rPr>
        <w:t xml:space="preserve">аукционах, назначенных                           на </w:t>
      </w:r>
      <w:r>
        <w:rPr>
          <w:sz w:val="28"/>
          <w:szCs w:val="28"/>
        </w:rPr>
        <w:t>24</w:t>
      </w:r>
      <w:r>
        <w:rPr>
          <w:sz w:val="28"/>
          <w:szCs w:val="28"/>
          <w:lang w:val="ru-RU"/>
        </w:rPr>
        <w:t>.07.2025 (процедура</w:t>
      </w:r>
      <w:r>
        <w:rPr>
          <w:rFonts w:eastAsia="Droid Sans Fallback" w:cs="Lohit Devanagari"/>
          <w:color w:val="auto"/>
          <w:sz w:val="28"/>
          <w:szCs w:val="28"/>
          <w:lang w:val="ru-RU" w:eastAsia="ru-RU" w:bidi="ar-SA"/>
        </w:rPr>
        <w:t xml:space="preserve"> №</w:t>
      </w:r>
      <w:r>
        <w:rPr>
          <w:rFonts w:eastAsia="Droid Sans Fallback" w:cs="Lohit Devanagari"/>
          <w:color w:val="auto"/>
          <w:kern w:val="0"/>
          <w:sz w:val="28"/>
          <w:szCs w:val="28"/>
          <w:lang w:val="ru-RU" w:eastAsia="ru-RU" w:bidi="ar-SA"/>
        </w:rPr>
        <w:t xml:space="preserve"> SBR012-2506240100),</w:t>
      </w:r>
      <w:r>
        <w:rPr>
          <w:rFonts w:eastAsia="Droid Sans Fallback" w:cs="Lohit Devanagari"/>
          <w:color w:val="auto"/>
          <w:kern w:val="0"/>
          <w:sz w:val="28"/>
          <w:szCs w:val="28"/>
          <w:lang w:val="ru-RU" w:eastAsia="ru-RU" w:bidi="ar-SA"/>
        </w:rPr>
        <w:t xml:space="preserve"> р</w:t>
      </w:r>
      <w:r>
        <w:rPr>
          <w:rFonts w:eastAsia="Droid Sans Fallback" w:cs="Lohit Devanagari"/>
          <w:color w:val="auto"/>
          <w:sz w:val="28"/>
          <w:szCs w:val="28"/>
          <w:lang w:val="ru-RU" w:eastAsia="ru-RU" w:bidi="ar-SA"/>
        </w:rPr>
        <w:t>ешила:</w:t>
      </w:r>
    </w:p>
    <w:p>
      <w:pPr>
        <w:pStyle w:val="Normal"/>
        <w:spacing w:lineRule="auto" w:line="276" w:before="0" w:after="0"/>
        <w:ind w:hanging="0" w:left="0" w:right="0"/>
        <w:jc w:val="both"/>
        <w:rPr/>
      </w:pPr>
      <w:r>
        <w:rPr/>
      </w:r>
    </w:p>
    <w:p>
      <w:pPr>
        <w:pStyle w:val="Normal"/>
        <w:spacing w:lineRule="auto" w:line="276" w:before="0" w:after="0"/>
        <w:ind w:hanging="0" w:left="0" w:right="0"/>
        <w:jc w:val="both"/>
        <w:rPr>
          <w:rFonts w:eastAsia="Droid Sans Fallback" w:cs="Lohit Devanagari"/>
          <w:color w:val="auto"/>
          <w:sz w:val="28"/>
          <w:szCs w:val="28"/>
        </w:rPr>
      </w:pPr>
      <w:r>
        <w:rPr>
          <w:b/>
          <w:sz w:val="28"/>
          <w:szCs w:val="28"/>
        </w:rPr>
        <w:t>Лот № 1 –</w:t>
      </w:r>
      <w:r>
        <w:rPr>
          <w:rFonts w:eastAsia="Droid Sans Fallback" w:cs="Lohit Devanagari"/>
          <w:color w:val="auto"/>
          <w:sz w:val="28"/>
          <w:szCs w:val="28"/>
          <w:lang w:val="ru-RU" w:eastAsia="ru-RU" w:bidi="ar-SA"/>
        </w:rPr>
        <w:t xml:space="preserve"> пра</w:t>
      </w:r>
      <w:r>
        <w:rPr>
          <w:rFonts w:eastAsia="Droid Sans Fallback" w:cs="Lohit Devanagari"/>
          <w:color w:val="auto"/>
          <w:kern w:val="0"/>
          <w:sz w:val="28"/>
          <w:szCs w:val="28"/>
          <w:lang w:val="ru-RU" w:eastAsia="ru-RU" w:bidi="ar-SA"/>
        </w:rPr>
        <w:t xml:space="preserve">во </w:t>
      </w:r>
      <w:r>
        <w:rPr>
          <w:rFonts w:eastAsia="Droid Sans Fallback" w:cs="Lohit Devanagari"/>
          <w:color w:val="auto"/>
          <w:kern w:val="0"/>
          <w:sz w:val="28"/>
          <w:szCs w:val="28"/>
          <w:lang w:val="ru-RU" w:eastAsia="ru-RU" w:bidi="ar-SA"/>
        </w:rPr>
        <w:t>заключения договора аренды земельного участка с кадастровым номером 59:01:3812831:147 площадью 1275 кв. м, расположенного по адресу: Российская Федерация, Пермский край, городской округ Пермский, город Пермь, улица Чапаева, з/у 25, для индивидуального жилищного строительства. Разрешенное использование земельного участка – для индивидуального жилищного строительства.</w:t>
      </w:r>
    </w:p>
    <w:p>
      <w:pPr>
        <w:pStyle w:val="Normal"/>
        <w:spacing w:lineRule="auto" w:line="276" w:before="0" w:after="0"/>
        <w:ind w:hanging="0" w:left="0" w:right="0"/>
        <w:jc w:val="both"/>
        <w:rPr>
          <w:rFonts w:eastAsia="Droid Sans Fallback" w:cs="Lohit Devanagari"/>
          <w:color w:val="auto"/>
          <w:sz w:val="28"/>
          <w:szCs w:val="28"/>
        </w:rPr>
      </w:pPr>
      <w:r>
        <w:rPr>
          <w:rFonts w:eastAsia="Droid Sans Fallback" w:cs="Lohit Devanagari"/>
          <w:color w:val="auto"/>
          <w:sz w:val="28"/>
          <w:szCs w:val="28"/>
        </w:rPr>
      </w:r>
    </w:p>
    <w:tbl>
      <w:tblPr>
        <w:tblStyle w:val="954"/>
        <w:tblW w:w="9921" w:type="dxa"/>
        <w:jc w:val="left"/>
        <w:tblInd w:w="107" w:type="dxa"/>
        <w:tblLayout w:type="fixed"/>
        <w:tblCellMar>
          <w:top w:w="0" w:type="dxa"/>
          <w:left w:w="108" w:type="dxa"/>
          <w:bottom w:w="0" w:type="dxa"/>
          <w:right w:w="108" w:type="dxa"/>
        </w:tblCellMar>
        <w:tblLook w:val="04a0" w:noHBand="0" w:noVBand="1" w:firstColumn="1" w:lastRow="0" w:lastColumn="0" w:firstRow="1"/>
      </w:tblPr>
      <w:tblGrid>
        <w:gridCol w:w="709"/>
        <w:gridCol w:w="1973"/>
        <w:gridCol w:w="2843"/>
        <w:gridCol w:w="2261"/>
        <w:gridCol w:w="2135"/>
      </w:tblGrid>
      <w:tr>
        <w:trPr/>
        <w:tc>
          <w:tcPr>
            <w:tcW w:w="709"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 xml:space="preserve">№ </w:t>
            </w:r>
            <w:r>
              <w:rPr>
                <w:rFonts w:eastAsia="Droid Sans Fallback" w:cs="Lohit Devanagari"/>
                <w:color w:val="auto"/>
                <w:kern w:val="0"/>
                <w:sz w:val="28"/>
                <w:szCs w:val="28"/>
                <w:lang w:val="ru-RU" w:eastAsia="ru-RU" w:bidi="ar-SA"/>
              </w:rPr>
              <w:t>п/п</w:t>
            </w:r>
          </w:p>
        </w:tc>
        <w:tc>
          <w:tcPr>
            <w:tcW w:w="1973"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Номер заявки</w:t>
            </w:r>
          </w:p>
        </w:tc>
        <w:tc>
          <w:tcPr>
            <w:tcW w:w="2843"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Дата и время подачи заявки</w:t>
            </w:r>
          </w:p>
        </w:tc>
        <w:tc>
          <w:tcPr>
            <w:tcW w:w="2261"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Сведения               о внесенном задатке</w:t>
            </w:r>
          </w:p>
        </w:tc>
        <w:tc>
          <w:tcPr>
            <w:tcW w:w="2135"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Решение комиссии</w:t>
            </w:r>
          </w:p>
        </w:tc>
      </w:tr>
      <w:tr>
        <w:trPr/>
        <w:tc>
          <w:tcPr>
            <w:tcW w:w="709" w:type="dxa"/>
            <w:tcBorders/>
          </w:tcPr>
          <w:p>
            <w:pPr>
              <w:pStyle w:val="Normal"/>
              <w:suppressAutoHyphens w:val="true"/>
              <w:spacing w:lineRule="auto" w:line="276" w:before="0" w:after="0"/>
              <w:jc w:val="center"/>
              <w:rPr>
                <w:sz w:val="28"/>
                <w:szCs w:val="28"/>
              </w:rPr>
            </w:pPr>
            <w:r>
              <w:rPr>
                <w:rFonts w:eastAsia="Droid Sans Fallback" w:cs="Lohit Devanagari"/>
                <w:color w:val="auto"/>
                <w:kern w:val="0"/>
                <w:sz w:val="28"/>
                <w:szCs w:val="28"/>
                <w:lang w:val="ru-RU" w:eastAsia="ru-RU" w:bidi="ar-SA"/>
              </w:rPr>
              <w:t>1</w:t>
            </w:r>
          </w:p>
        </w:tc>
        <w:tc>
          <w:tcPr>
            <w:tcW w:w="1973" w:type="dxa"/>
            <w:tcBorders/>
          </w:tcPr>
          <w:p>
            <w:pPr>
              <w:pStyle w:val="Normal"/>
              <w:widowControl/>
              <w:spacing w:before="0" w:after="0"/>
              <w:jc w:val="center"/>
              <w:rPr>
                <w:rFonts w:ascii="Times New Roman" w:hAnsi="Times New Roman" w:eastAsia="Times New Roman" w:cs="Times New Roman"/>
                <w:kern w:val="0"/>
                <w:sz w:val="20"/>
                <w:lang w:val="en-US" w:eastAsia="en-US" w:bidi="ar-SA"/>
              </w:rPr>
            </w:pPr>
            <w:r>
              <w:rPr>
                <w:rFonts w:eastAsia="Droid Sans Fallback" w:cs="Lohit Devanagari"/>
                <w:b w:val="false"/>
                <w:bCs w:val="false"/>
                <w:i w:val="false"/>
                <w:iCs w:val="false"/>
                <w:caps w:val="false"/>
                <w:smallCaps w:val="false"/>
                <w:color w:val="000000"/>
                <w:kern w:val="0"/>
                <w:sz w:val="28"/>
                <w:szCs w:val="28"/>
                <w:lang w:val="ru-RU" w:eastAsia="ru-RU" w:bidi="ar-SA"/>
              </w:rPr>
              <w:t>2493</w:t>
            </w:r>
          </w:p>
        </w:tc>
        <w:tc>
          <w:tcPr>
            <w:tcW w:w="2843" w:type="dxa"/>
            <w:tcBorders/>
          </w:tcPr>
          <w:p>
            <w:pPr>
              <w:pStyle w:val="Normal"/>
              <w:widowControl/>
              <w:spacing w:before="0" w:after="0"/>
              <w:jc w:val="center"/>
              <w:rPr>
                <w:rFonts w:ascii="Times New Roman" w:hAnsi="Times New Roman" w:eastAsia="Times New Roman" w:cs="Times New Roman"/>
                <w:kern w:val="0"/>
                <w:sz w:val="20"/>
                <w:lang w:val="en-US" w:eastAsia="en-US" w:bidi="ar-SA"/>
              </w:rPr>
            </w:pPr>
            <w:r>
              <w:rPr>
                <w:rFonts w:eastAsia="Droid Sans Fallback" w:cs="Lohit Devanagari"/>
                <w:b w:val="false"/>
                <w:bCs w:val="false"/>
                <w:i w:val="false"/>
                <w:iCs w:val="false"/>
                <w:caps w:val="false"/>
                <w:smallCaps w:val="false"/>
                <w:color w:val="000000"/>
                <w:kern w:val="0"/>
                <w:sz w:val="28"/>
                <w:szCs w:val="28"/>
                <w:lang w:val="ru-RU" w:eastAsia="ru-RU" w:bidi="ar-SA"/>
              </w:rPr>
              <w:t>08.07.2025 12:46</w:t>
            </w:r>
          </w:p>
        </w:tc>
        <w:tc>
          <w:tcPr>
            <w:tcW w:w="2261" w:type="dxa"/>
            <w:tcBorders/>
          </w:tcPr>
          <w:p>
            <w:pPr>
              <w:pStyle w:val="Normal"/>
              <w:widowControl/>
              <w:suppressAutoHyphens w:val="true"/>
              <w:spacing w:lineRule="auto" w:line="240" w:before="0" w:after="0"/>
              <w:jc w:val="center"/>
              <w:rPr/>
            </w:pPr>
            <w:r>
              <w:rPr>
                <w:rFonts w:eastAsia="Droid Sans Fallback" w:cs="Lohit Devanagari"/>
                <w:color w:val="auto"/>
                <w:kern w:val="0"/>
                <w:sz w:val="28"/>
                <w:szCs w:val="28"/>
                <w:lang w:val="ru-RU" w:eastAsia="ru-RU" w:bidi="ar-SA"/>
              </w:rPr>
              <w:t>164 000</w:t>
            </w:r>
            <w:r>
              <w:rPr>
                <w:rFonts w:eastAsia="Droid Sans Fallback" w:cs="Lohit Devanagari"/>
                <w:color w:val="auto"/>
                <w:kern w:val="0"/>
                <w:sz w:val="28"/>
                <w:szCs w:val="28"/>
                <w:lang w:val="ru-RU" w:eastAsia="ru-RU" w:bidi="ar-SA"/>
              </w:rPr>
              <w:t>,00</w:t>
            </w:r>
          </w:p>
        </w:tc>
        <w:tc>
          <w:tcPr>
            <w:tcW w:w="2135"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r>
        <w:trPr/>
        <w:tc>
          <w:tcPr>
            <w:tcW w:w="709" w:type="dxa"/>
            <w:tcBorders>
              <w:top w:val="nil"/>
            </w:tcBorders>
          </w:tcPr>
          <w:p>
            <w:pPr>
              <w:pStyle w:val="Normal"/>
              <w:suppressAutoHyphens w:val="true"/>
              <w:spacing w:lineRule="auto" w:line="276" w:before="0" w:after="0"/>
              <w:jc w:val="center"/>
              <w:rPr>
                <w:sz w:val="28"/>
                <w:szCs w:val="28"/>
              </w:rPr>
            </w:pPr>
            <w:r>
              <w:rPr>
                <w:sz w:val="28"/>
                <w:szCs w:val="28"/>
              </w:rPr>
              <w:t>2</w:t>
            </w:r>
          </w:p>
        </w:tc>
        <w:tc>
          <w:tcPr>
            <w:tcW w:w="1973" w:type="dxa"/>
            <w:tcBorders>
              <w:top w:val="nil"/>
            </w:tcBorders>
          </w:tcPr>
          <w:p>
            <w:pPr>
              <w:pStyle w:val="Normal"/>
              <w:widowControl/>
              <w:spacing w:before="0" w:after="0"/>
              <w:jc w:val="center"/>
              <w:rPr>
                <w:rFonts w:ascii="Times New Roman" w:hAnsi="Times New Roman" w:eastAsia="Times New Roman" w:cs="Times New Roman"/>
                <w:kern w:val="0"/>
                <w:sz w:val="20"/>
                <w:lang w:val="en-US" w:eastAsia="en-US" w:bidi="ar-SA"/>
              </w:rPr>
            </w:pPr>
            <w:r>
              <w:rPr>
                <w:rFonts w:eastAsia="Droid Sans Fallback" w:cs="Lohit Devanagari"/>
                <w:b w:val="false"/>
                <w:bCs w:val="false"/>
                <w:i w:val="false"/>
                <w:iCs w:val="false"/>
                <w:caps w:val="false"/>
                <w:smallCaps w:val="false"/>
                <w:color w:val="000000"/>
                <w:kern w:val="0"/>
                <w:sz w:val="28"/>
                <w:szCs w:val="28"/>
                <w:lang w:val="ru-RU" w:eastAsia="ru-RU" w:bidi="ar-SA"/>
              </w:rPr>
              <w:t>8734</w:t>
            </w:r>
          </w:p>
        </w:tc>
        <w:tc>
          <w:tcPr>
            <w:tcW w:w="2843" w:type="dxa"/>
            <w:tcBorders>
              <w:top w:val="nil"/>
            </w:tcBorders>
          </w:tcPr>
          <w:p>
            <w:pPr>
              <w:pStyle w:val="Normal"/>
              <w:widowControl/>
              <w:spacing w:before="0" w:after="0"/>
              <w:jc w:val="center"/>
              <w:rPr>
                <w:rFonts w:ascii="Times New Roman" w:hAnsi="Times New Roman" w:eastAsia="Times New Roman" w:cs="Times New Roman"/>
                <w:kern w:val="0"/>
                <w:sz w:val="20"/>
                <w:lang w:val="en-US" w:eastAsia="en-US" w:bidi="ar-SA"/>
              </w:rPr>
            </w:pPr>
            <w:r>
              <w:rPr>
                <w:rFonts w:eastAsia="Droid Sans Fallback" w:cs="Lohit Devanagari"/>
                <w:b w:val="false"/>
                <w:bCs w:val="false"/>
                <w:i w:val="false"/>
                <w:iCs w:val="false"/>
                <w:caps w:val="false"/>
                <w:smallCaps w:val="false"/>
                <w:color w:val="000000"/>
                <w:kern w:val="0"/>
                <w:sz w:val="28"/>
                <w:szCs w:val="28"/>
                <w:lang w:val="ru-RU" w:eastAsia="ru-RU" w:bidi="ar-SA"/>
              </w:rPr>
              <w:t>22.07.2025 10:04</w:t>
            </w:r>
          </w:p>
        </w:tc>
        <w:tc>
          <w:tcPr>
            <w:tcW w:w="2261" w:type="dxa"/>
            <w:tcBorders>
              <w:top w:val="nil"/>
            </w:tcBorders>
          </w:tcPr>
          <w:p>
            <w:pPr>
              <w:pStyle w:val="Normal"/>
              <w:widowControl/>
              <w:suppressAutoHyphens w:val="true"/>
              <w:spacing w:lineRule="auto" w:line="240" w:before="0" w:after="0"/>
              <w:jc w:val="center"/>
              <w:rPr/>
            </w:pPr>
            <w:r>
              <w:rPr>
                <w:rFonts w:eastAsia="Droid Sans Fallback" w:cs="Lohit Devanagari"/>
                <w:color w:val="auto"/>
                <w:kern w:val="0"/>
                <w:sz w:val="28"/>
                <w:szCs w:val="28"/>
                <w:lang w:val="ru-RU" w:eastAsia="ru-RU" w:bidi="ar-SA"/>
              </w:rPr>
              <w:t>164 000</w:t>
            </w:r>
            <w:r>
              <w:rPr>
                <w:rFonts w:eastAsia="Droid Sans Fallback" w:cs="Lohit Devanagari"/>
                <w:color w:val="auto"/>
                <w:kern w:val="0"/>
                <w:sz w:val="28"/>
                <w:szCs w:val="28"/>
                <w:lang w:val="ru-RU" w:eastAsia="ru-RU" w:bidi="ar-SA"/>
              </w:rPr>
              <w:t>,00</w:t>
            </w:r>
          </w:p>
        </w:tc>
        <w:tc>
          <w:tcPr>
            <w:tcW w:w="2135" w:type="dxa"/>
            <w:tcBorders>
              <w:top w:val="nil"/>
            </w:tcBorders>
          </w:tcPr>
          <w:p>
            <w:pPr>
              <w:pStyle w:val="Normal"/>
              <w:suppressAutoHyphens w:val="true"/>
              <w:spacing w:lineRule="auto" w:line="276" w:before="0" w:after="0"/>
              <w:jc w:val="center"/>
              <w:rPr>
                <w:kern w:val="0"/>
              </w:rPr>
            </w:pPr>
            <w:r>
              <w:rPr>
                <w:rFonts w:eastAsia="Droid Sans Fallback" w:cs="Lohit Devanagari"/>
                <w:color w:val="auto"/>
                <w:sz w:val="28"/>
                <w:szCs w:val="28"/>
                <w:lang w:val="ru-RU" w:eastAsia="ru-RU" w:bidi="ar-SA"/>
              </w:rPr>
              <w:t>Допустить                к участию                 в аукционе              и признать участником аукциона</w:t>
            </w:r>
          </w:p>
        </w:tc>
      </w:tr>
    </w:tbl>
    <w:p>
      <w:pPr>
        <w:pStyle w:val="Normal"/>
        <w:widowControl/>
        <w:spacing w:lineRule="auto" w:line="276" w:before="0" w:after="0"/>
        <w:ind w:hanging="0" w:left="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spacing w:lineRule="auto" w:line="276" w:before="0" w:after="0"/>
        <w:ind w:hanging="0" w:left="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b/>
          <w:color w:val="auto"/>
          <w:sz w:val="28"/>
          <w:szCs w:val="28"/>
          <w:lang w:val="ru-RU" w:eastAsia="ru-RU" w:bidi="ar-SA"/>
        </w:rPr>
        <w:t>Лот № 2 –</w:t>
      </w:r>
      <w:r>
        <w:rPr>
          <w:rFonts w:eastAsia="Droid Sans Fallback" w:cs="Lohit Devanagari"/>
          <w:color w:val="auto"/>
          <w:sz w:val="28"/>
          <w:szCs w:val="28"/>
          <w:lang w:val="ru-RU" w:eastAsia="ru-RU" w:bidi="ar-SA"/>
        </w:rPr>
        <w:t xml:space="preserve"> пра</w:t>
      </w:r>
      <w:r>
        <w:rPr>
          <w:rFonts w:eastAsia="Droid Sans Fallback" w:cs="Lohit Devanagari"/>
          <w:color w:val="auto"/>
          <w:kern w:val="0"/>
          <w:sz w:val="28"/>
          <w:szCs w:val="28"/>
          <w:lang w:val="ru-RU" w:eastAsia="ru-RU" w:bidi="ar-SA"/>
        </w:rPr>
        <w:t xml:space="preserve">во </w:t>
      </w:r>
      <w:r>
        <w:rPr>
          <w:rFonts w:eastAsia="Droid Sans Fallback" w:cs="Lohit Devanagari"/>
          <w:color w:val="auto"/>
          <w:kern w:val="0"/>
          <w:sz w:val="28"/>
          <w:szCs w:val="28"/>
          <w:lang w:val="ru-RU" w:eastAsia="ru-RU" w:bidi="ar-SA"/>
        </w:rPr>
        <w:t>заключения договора аренды земельного участка с кадастровым номером 59:01:3812842:142 площадью 753 кв. м, расположенного по адресу: Российская Федерация, Пермский край, городской округ Пермский, город Пермь, улица 1-я Логовая, з/у 13, для индивидуального жилищного строительства. Разрешенное использование земельного участка – для индивидуального жилищного строительства.</w:t>
      </w:r>
    </w:p>
    <w:p>
      <w:pPr>
        <w:pStyle w:val="Normal"/>
        <w:spacing w:lineRule="auto" w:line="276" w:before="0" w:after="0"/>
        <w:ind w:hanging="0" w:left="0" w:right="0"/>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r>
    </w:p>
    <w:tbl>
      <w:tblPr>
        <w:tblStyle w:val="954"/>
        <w:tblW w:w="9921" w:type="dxa"/>
        <w:jc w:val="left"/>
        <w:tblInd w:w="107" w:type="dxa"/>
        <w:tblLayout w:type="fixed"/>
        <w:tblCellMar>
          <w:top w:w="0" w:type="dxa"/>
          <w:left w:w="108" w:type="dxa"/>
          <w:bottom w:w="0" w:type="dxa"/>
          <w:right w:w="108" w:type="dxa"/>
        </w:tblCellMar>
        <w:tblLook w:val="04a0" w:noHBand="0" w:noVBand="1" w:firstColumn="1" w:lastRow="0" w:lastColumn="0" w:firstRow="1"/>
      </w:tblPr>
      <w:tblGrid>
        <w:gridCol w:w="709"/>
        <w:gridCol w:w="1973"/>
        <w:gridCol w:w="2843"/>
        <w:gridCol w:w="2261"/>
        <w:gridCol w:w="2135"/>
      </w:tblGrid>
      <w:tr>
        <w:trPr/>
        <w:tc>
          <w:tcPr>
            <w:tcW w:w="709"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 xml:space="preserve">№ </w:t>
            </w:r>
            <w:r>
              <w:rPr>
                <w:rFonts w:eastAsia="Droid Sans Fallback" w:cs="Lohit Devanagari"/>
                <w:color w:val="auto"/>
                <w:kern w:val="0"/>
                <w:sz w:val="28"/>
                <w:szCs w:val="28"/>
                <w:lang w:val="ru-RU" w:eastAsia="ru-RU" w:bidi="ar-SA"/>
              </w:rPr>
              <w:t>п/п</w:t>
            </w:r>
          </w:p>
        </w:tc>
        <w:tc>
          <w:tcPr>
            <w:tcW w:w="1973"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Номер заявки</w:t>
            </w:r>
          </w:p>
        </w:tc>
        <w:tc>
          <w:tcPr>
            <w:tcW w:w="2843"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Дата и время подачи заявки</w:t>
            </w:r>
          </w:p>
        </w:tc>
        <w:tc>
          <w:tcPr>
            <w:tcW w:w="2261"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Сведения               о внесенном задатке</w:t>
            </w:r>
          </w:p>
        </w:tc>
        <w:tc>
          <w:tcPr>
            <w:tcW w:w="2135"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Решение комиссии</w:t>
            </w:r>
          </w:p>
        </w:tc>
      </w:tr>
      <w:tr>
        <w:trPr/>
        <w:tc>
          <w:tcPr>
            <w:tcW w:w="709" w:type="dxa"/>
            <w:tcBorders/>
          </w:tcPr>
          <w:p>
            <w:pPr>
              <w:pStyle w:val="Normal"/>
              <w:suppressAutoHyphens w:val="true"/>
              <w:spacing w:lineRule="auto" w:line="276" w:before="0" w:after="0"/>
              <w:jc w:val="center"/>
              <w:rPr>
                <w:sz w:val="28"/>
                <w:szCs w:val="28"/>
              </w:rPr>
            </w:pPr>
            <w:r>
              <w:rPr>
                <w:rFonts w:eastAsia="Droid Sans Fallback" w:cs="Lohit Devanagari"/>
                <w:color w:val="auto"/>
                <w:kern w:val="0"/>
                <w:sz w:val="28"/>
                <w:szCs w:val="28"/>
                <w:lang w:val="ru-RU" w:eastAsia="ru-RU" w:bidi="ar-SA"/>
              </w:rPr>
              <w:t>1</w:t>
            </w:r>
          </w:p>
        </w:tc>
        <w:tc>
          <w:tcPr>
            <w:tcW w:w="1973" w:type="dxa"/>
            <w:tcBorders/>
          </w:tcPr>
          <w:p>
            <w:pPr>
              <w:pStyle w:val="Normal"/>
              <w:widowControl/>
              <w:spacing w:before="0" w:after="0"/>
              <w:jc w:val="center"/>
              <w:rPr>
                <w:rFonts w:ascii="Times New Roman" w:hAnsi="Times New Roman" w:eastAsia="Times New Roman" w:cs="Times New Roman"/>
                <w:kern w:val="0"/>
                <w:sz w:val="20"/>
                <w:lang w:val="en-US" w:eastAsia="en-US" w:bidi="ar-SA"/>
              </w:rPr>
            </w:pPr>
            <w:r>
              <w:rPr>
                <w:rFonts w:eastAsia="Droid Sans Fallback" w:cs="Lohit Devanagari"/>
                <w:b w:val="false"/>
                <w:bCs w:val="false"/>
                <w:i w:val="false"/>
                <w:iCs w:val="false"/>
                <w:caps w:val="false"/>
                <w:smallCaps w:val="false"/>
                <w:color w:val="000000"/>
                <w:kern w:val="0"/>
                <w:sz w:val="28"/>
                <w:szCs w:val="28"/>
                <w:lang w:val="ru-RU" w:eastAsia="ru-RU" w:bidi="ar-SA"/>
              </w:rPr>
              <w:t>2348</w:t>
            </w:r>
          </w:p>
        </w:tc>
        <w:tc>
          <w:tcPr>
            <w:tcW w:w="2843" w:type="dxa"/>
            <w:tcBorders/>
          </w:tcPr>
          <w:p>
            <w:pPr>
              <w:pStyle w:val="Normal"/>
              <w:widowControl/>
              <w:spacing w:before="0" w:after="0"/>
              <w:jc w:val="center"/>
              <w:rPr>
                <w:rFonts w:ascii="Times New Roman" w:hAnsi="Times New Roman" w:eastAsia="Times New Roman" w:cs="Times New Roman"/>
                <w:kern w:val="0"/>
                <w:sz w:val="20"/>
                <w:lang w:val="en-US" w:eastAsia="en-US" w:bidi="ar-SA"/>
              </w:rPr>
            </w:pPr>
            <w:r>
              <w:rPr>
                <w:rFonts w:eastAsia="Droid Sans Fallback" w:cs="Lohit Devanagari"/>
                <w:b w:val="false"/>
                <w:bCs w:val="false"/>
                <w:i w:val="false"/>
                <w:iCs w:val="false"/>
                <w:caps w:val="false"/>
                <w:smallCaps w:val="false"/>
                <w:color w:val="000000"/>
                <w:kern w:val="0"/>
                <w:sz w:val="28"/>
                <w:szCs w:val="28"/>
                <w:lang w:val="ru-RU" w:eastAsia="ru-RU" w:bidi="ar-SA"/>
              </w:rPr>
              <w:t>22.07.2025 11:07</w:t>
            </w:r>
          </w:p>
        </w:tc>
        <w:tc>
          <w:tcPr>
            <w:tcW w:w="2261" w:type="dxa"/>
            <w:tcBorders/>
          </w:tcPr>
          <w:p>
            <w:pPr>
              <w:pStyle w:val="Normal"/>
              <w:widowControl/>
              <w:suppressAutoHyphens w:val="true"/>
              <w:spacing w:lineRule="auto" w:line="240" w:before="0" w:after="0"/>
              <w:jc w:val="center"/>
              <w:rPr/>
            </w:pPr>
            <w:r>
              <w:rPr>
                <w:rFonts w:eastAsia="Droid Sans Fallback" w:cs="Lohit Devanagari"/>
                <w:color w:val="auto"/>
                <w:kern w:val="0"/>
                <w:sz w:val="28"/>
                <w:szCs w:val="28"/>
                <w:lang w:val="ru-RU" w:eastAsia="ru-RU" w:bidi="ar-SA"/>
              </w:rPr>
              <w:t>104 500</w:t>
            </w:r>
            <w:r>
              <w:rPr>
                <w:rFonts w:eastAsia="Droid Sans Fallback" w:cs="Lohit Devanagari"/>
                <w:color w:val="auto"/>
                <w:kern w:val="0"/>
                <w:sz w:val="28"/>
                <w:szCs w:val="28"/>
                <w:lang w:val="ru-RU" w:eastAsia="ru-RU" w:bidi="ar-SA"/>
              </w:rPr>
              <w:t>,00</w:t>
            </w:r>
          </w:p>
        </w:tc>
        <w:tc>
          <w:tcPr>
            <w:tcW w:w="2135" w:type="dxa"/>
            <w:tcBorders/>
          </w:tcPr>
          <w:p>
            <w:pPr>
              <w:pStyle w:val="Normal"/>
              <w:suppressAutoHyphens w:val="true"/>
              <w:spacing w:lineRule="auto" w:line="276" w:before="0" w:after="0"/>
              <w:jc w:val="center"/>
              <w:rPr>
                <w:kern w:val="0"/>
              </w:rPr>
            </w:pPr>
            <w:r>
              <w:rPr>
                <w:rFonts w:eastAsia="Droid Sans Fallback" w:cs="Lohit Devanagari"/>
                <w:color w:val="auto"/>
                <w:kern w:val="0"/>
                <w:sz w:val="28"/>
                <w:szCs w:val="28"/>
                <w:lang w:val="ru-RU" w:eastAsia="ru-RU" w:bidi="ar-SA"/>
              </w:rPr>
              <w:t>Допустить                к участию                 в аукционе              и признать участником аукциона</w:t>
            </w:r>
          </w:p>
        </w:tc>
      </w:tr>
    </w:tbl>
    <w:p>
      <w:pPr>
        <w:pStyle w:val="Normal"/>
        <w:widowControl/>
        <w:spacing w:lineRule="auto" w:line="276" w:before="0" w:after="0"/>
        <w:ind w:firstLine="737" w:left="0"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widowControl/>
        <w:spacing w:lineRule="auto" w:line="276" w:before="0" w:after="0"/>
        <w:ind w:firstLine="737" w:left="0" w:right="0"/>
        <w:jc w:val="both"/>
        <w:rPr>
          <w:rFonts w:ascii="Times New Roman" w:hAnsi="Times New Roman" w:eastAsia="Droid Sans Fallback" w:cs="Lohit Devanagari"/>
          <w:color w:val="auto"/>
          <w:sz w:val="28"/>
          <w:szCs w:val="28"/>
          <w:lang w:val="ru-RU" w:eastAsia="ru-RU" w:bidi="ar-SA"/>
        </w:rPr>
      </w:pPr>
      <w:r>
        <w:rPr>
          <w:rFonts w:eastAsia="Times New Roman" w:cs="Times New Roman"/>
          <w:b w:val="false"/>
          <w:bCs w:val="false"/>
          <w:i w:val="false"/>
          <w:iCs w:val="false"/>
          <w:caps w:val="false"/>
          <w:smallCaps w:val="false"/>
          <w:color w:val="000000"/>
          <w:sz w:val="28"/>
          <w:szCs w:val="28"/>
          <w:lang w:val="ru-RU" w:eastAsia="ru-RU" w:bidi="ar-SA"/>
        </w:rPr>
        <w:t xml:space="preserve">Признать аукцион несостоявшимся по лоту </w:t>
      </w:r>
      <w:r>
        <w:rPr>
          <w:rFonts w:eastAsia="Times New Roman" w:cs="Times New Roman"/>
          <w:b/>
          <w:bCs/>
          <w:i w:val="false"/>
          <w:iCs w:val="false"/>
          <w:caps w:val="false"/>
          <w:smallCaps w:val="false"/>
          <w:color w:val="000000"/>
          <w:sz w:val="28"/>
          <w:szCs w:val="28"/>
          <w:lang w:val="ru-RU" w:eastAsia="ru-RU" w:bidi="ar-SA"/>
        </w:rPr>
        <w:t>№</w:t>
      </w:r>
      <w:r>
        <w:rPr>
          <w:rFonts w:eastAsia="Times New Roman" w:cs="Times New Roman"/>
          <w:b w:val="false"/>
          <w:bCs w:val="false"/>
          <w:i w:val="false"/>
          <w:iCs w:val="false"/>
          <w:caps w:val="false"/>
          <w:smallCaps w:val="false"/>
          <w:color w:val="000000"/>
          <w:sz w:val="28"/>
          <w:szCs w:val="28"/>
          <w:lang w:val="ru-RU" w:eastAsia="ru-RU" w:bidi="ar-SA"/>
        </w:rPr>
        <w:t xml:space="preserve"> </w:t>
      </w:r>
      <w:r>
        <w:rPr>
          <w:rFonts w:eastAsia="Times New Roman" w:cs="Times New Roman"/>
          <w:b/>
          <w:bCs/>
          <w:i w:val="false"/>
          <w:iCs w:val="false"/>
          <w:caps w:val="false"/>
          <w:smallCaps w:val="false"/>
          <w:color w:val="000000"/>
          <w:sz w:val="28"/>
          <w:szCs w:val="28"/>
          <w:lang w:val="ru-RU" w:eastAsia="ru-RU" w:bidi="ar-SA"/>
        </w:rPr>
        <w:t>2</w:t>
      </w:r>
      <w:r>
        <w:rPr>
          <w:rFonts w:eastAsia="Times New Roman" w:cs="Times New Roman"/>
          <w:b/>
          <w:bCs/>
          <w:i w:val="false"/>
          <w:iCs w:val="false"/>
          <w:caps w:val="false"/>
          <w:smallCaps w:val="false"/>
          <w:color w:val="000000"/>
          <w:sz w:val="28"/>
          <w:szCs w:val="28"/>
          <w:lang w:val="ru-RU" w:eastAsia="ru-RU" w:bidi="ar-SA"/>
        </w:rPr>
        <w:t xml:space="preserve"> </w:t>
      </w:r>
      <w:r>
        <w:rPr>
          <w:rFonts w:eastAsia="Times New Roman" w:cs="Times New Roman"/>
          <w:b w:val="false"/>
          <w:bCs w:val="false"/>
          <w:i w:val="false"/>
          <w:iCs w:val="false"/>
          <w:caps w:val="false"/>
          <w:smallCaps w:val="false"/>
          <w:color w:val="000000"/>
          <w:sz w:val="28"/>
          <w:szCs w:val="28"/>
          <w:lang w:val="ru-RU" w:eastAsia="ru-RU" w:bidi="ar-SA"/>
        </w:rPr>
        <w:t>в связи с тем, что                      по окончании срока подачи заявок на участие в аукционе по данному лоту подана только одна заявка на участие в аукционе.</w:t>
      </w:r>
    </w:p>
    <w:p>
      <w:pPr>
        <w:pStyle w:val="BodyText"/>
        <w:spacing w:lineRule="auto" w:line="276"/>
        <w:ind w:firstLine="708"/>
        <w:jc w:val="both"/>
        <w:rPr/>
      </w:pPr>
      <w:r>
        <w:rPr>
          <w:color w:val="000000"/>
          <w:sz w:val="28"/>
          <w:szCs w:val="28"/>
        </w:rPr>
        <w:t xml:space="preserve">Единственная заявка на участие в аукционе и заявитель, подавший указанную заявку, соответствуют всем требованиям и условиям, указанным                 в извещении о проведении аукциона. </w:t>
      </w:r>
    </w:p>
    <w:p>
      <w:pPr>
        <w:pStyle w:val="BodyText"/>
        <w:spacing w:lineRule="auto" w:line="276" w:before="0" w:after="0"/>
        <w:ind w:firstLine="708" w:left="0" w:right="0"/>
        <w:jc w:val="both"/>
        <w:rPr/>
      </w:pPr>
      <w:r>
        <w:rPr>
          <w:color w:val="000000"/>
          <w:sz w:val="28"/>
          <w:szCs w:val="28"/>
        </w:rPr>
        <w:t>В соответствии с пунктом 12 статьи 39.13 Земельного кодекса Российской Федерации уполномоченный орган в течение пяти дней со дня истечения срока, предусмотренного п. 11 ст. 39.13 Земельного кодекса Российской Федерации обязан направить заявителю, признанному единственным участником аукциона, подписанный проект договора аренды земельного участка. При этом договор аренды земельного участка заключается по начальной цене, определенной                  в размере, равном начальной цене предмета аукциона:</w:t>
      </w:r>
    </w:p>
    <w:p>
      <w:pPr>
        <w:pStyle w:val="BodyText"/>
        <w:spacing w:lineRule="auto" w:line="276" w:before="0" w:after="0"/>
        <w:ind w:firstLine="708" w:left="0" w:right="0"/>
        <w:jc w:val="both"/>
        <w:rPr>
          <w:color w:val="000000"/>
          <w:sz w:val="28"/>
          <w:szCs w:val="28"/>
        </w:rPr>
      </w:pPr>
      <w:r>
        <w:rPr>
          <w:color w:val="000000"/>
          <w:sz w:val="28"/>
          <w:szCs w:val="28"/>
        </w:rPr>
      </w:r>
    </w:p>
    <w:p>
      <w:pPr>
        <w:pStyle w:val="BodyText"/>
        <w:spacing w:lineRule="auto" w:line="276" w:before="0" w:after="0"/>
        <w:ind w:firstLine="708" w:left="0" w:right="0"/>
        <w:jc w:val="both"/>
        <w:rPr>
          <w:b/>
          <w:bCs/>
          <w:color w:val="000000"/>
          <w:sz w:val="28"/>
          <w:szCs w:val="28"/>
          <w:highlight w:val="none"/>
        </w:rPr>
      </w:pPr>
      <w:r>
        <w:rPr>
          <w:b/>
          <w:color w:val="000000"/>
          <w:sz w:val="28"/>
          <w:szCs w:val="28"/>
        </w:rPr>
        <w:t xml:space="preserve">по лоту № </w:t>
      </w:r>
      <w:r>
        <w:rPr>
          <w:b/>
          <w:color w:val="000000"/>
          <w:sz w:val="28"/>
          <w:szCs w:val="28"/>
        </w:rPr>
        <w:t>2</w:t>
      </w:r>
      <w:r>
        <w:rPr>
          <w:b/>
          <w:color w:val="000000"/>
          <w:sz w:val="28"/>
          <w:szCs w:val="28"/>
        </w:rPr>
        <w:t xml:space="preserve"> </w:t>
      </w:r>
      <w:r>
        <w:rPr>
          <w:color w:val="000000"/>
          <w:sz w:val="28"/>
          <w:szCs w:val="28"/>
        </w:rPr>
        <w:t xml:space="preserve"> </w:t>
      </w:r>
      <w:r>
        <w:rPr>
          <w:rFonts w:eastAsia="Droid Sans Fallback" w:cs="Lohit Devanagari"/>
          <w:b/>
          <w:color w:val="000000"/>
          <w:sz w:val="28"/>
          <w:szCs w:val="28"/>
          <w:lang w:val="ru-RU" w:eastAsia="ru-RU" w:bidi="ar-SA"/>
        </w:rPr>
        <w:t>(у</w:t>
      </w:r>
      <w:r>
        <w:rPr>
          <w:rFonts w:eastAsia="Droid Sans Fallback" w:cs="Lohit Devanagari"/>
          <w:b/>
          <w:color w:val="000000"/>
          <w:kern w:val="0"/>
          <w:sz w:val="28"/>
          <w:szCs w:val="28"/>
          <w:lang w:val="ru-RU" w:eastAsia="ru-RU" w:bidi="ar-SA"/>
        </w:rPr>
        <w:t xml:space="preserve">л. </w:t>
      </w:r>
      <w:r>
        <w:rPr>
          <w:rFonts w:eastAsia="Droid Sans Fallback" w:cs="Lohit Devanagari"/>
          <w:b/>
          <w:color w:val="auto"/>
          <w:kern w:val="0"/>
          <w:sz w:val="28"/>
          <w:szCs w:val="28"/>
          <w:lang w:val="ru-RU" w:eastAsia="ru-RU" w:bidi="ar-SA"/>
        </w:rPr>
        <w:t>1-я Логовая, з/у 13</w:t>
      </w:r>
      <w:r>
        <w:rPr>
          <w:rFonts w:eastAsia="Droid Sans Fallback" w:cs="Lohit Devanagari"/>
          <w:b/>
          <w:color w:val="000000"/>
          <w:kern w:val="0"/>
          <w:sz w:val="28"/>
          <w:szCs w:val="28"/>
          <w:lang w:val="ru-RU" w:eastAsia="ru-RU" w:bidi="ar-SA"/>
        </w:rPr>
        <w:t xml:space="preserve">) </w:t>
      </w:r>
      <w:r>
        <w:rPr>
          <w:rFonts w:eastAsia="Droid Sans Fallback" w:cs="Lohit Devanagari"/>
          <w:b/>
          <w:color w:val="000000"/>
          <w:sz w:val="28"/>
          <w:szCs w:val="28"/>
          <w:lang w:val="ru-RU" w:eastAsia="ru-RU" w:bidi="ar-SA"/>
        </w:rPr>
        <w:t xml:space="preserve">– </w:t>
      </w:r>
      <w:r>
        <w:rPr>
          <w:rFonts w:eastAsia="Droid Sans Fallback" w:cs="Lohit Devanagari"/>
          <w:b/>
          <w:color w:val="000000"/>
          <w:sz w:val="28"/>
          <w:szCs w:val="28"/>
          <w:lang w:val="ru-RU" w:eastAsia="ru-RU" w:bidi="ar-SA"/>
        </w:rPr>
        <w:t>209 000</w:t>
      </w:r>
      <w:r>
        <w:rPr>
          <w:b/>
          <w:color w:val="000000"/>
          <w:sz w:val="28"/>
          <w:szCs w:val="28"/>
        </w:rPr>
        <w:t>,00</w:t>
      </w:r>
      <w:r>
        <w:rPr>
          <w:color w:val="000000"/>
          <w:sz w:val="28"/>
          <w:szCs w:val="28"/>
        </w:rPr>
        <w:t xml:space="preserve"> </w:t>
      </w:r>
      <w:r>
        <w:rPr>
          <w:b/>
          <w:color w:val="000000"/>
          <w:sz w:val="28"/>
          <w:szCs w:val="28"/>
        </w:rPr>
        <w:t>руб.</w:t>
      </w:r>
    </w:p>
    <w:p>
      <w:pPr>
        <w:pStyle w:val="BodyText"/>
        <w:spacing w:lineRule="auto" w:line="276" w:before="0" w:after="0"/>
        <w:ind w:firstLine="708" w:left="0" w:right="0"/>
        <w:jc w:val="both"/>
        <w:rPr/>
      </w:pPr>
      <w:r>
        <w:rPr/>
      </w:r>
    </w:p>
    <w:p>
      <w:pPr>
        <w:pStyle w:val="Normal"/>
        <w:widowControl/>
        <w:spacing w:lineRule="auto" w:line="276" w:before="0" w:after="0"/>
        <w:ind w:firstLine="737" w:left="0" w:right="0"/>
        <w:jc w:val="both"/>
        <w:rPr>
          <w:rFonts w:ascii="Times New Roman" w:hAnsi="Times New Roman" w:eastAsia="Droid Sans Fallback" w:cs="Lohit Devanagari"/>
          <w:color w:val="000000"/>
          <w:sz w:val="28"/>
          <w:szCs w:val="28"/>
          <w:lang w:val="ru-RU" w:eastAsia="ru-RU" w:bidi="ar-SA"/>
        </w:rPr>
      </w:pPr>
      <w:r>
        <w:rPr>
          <w:rFonts w:eastAsia="Droid Sans Fallback" w:cs="Lohit Devanagari"/>
          <w:color w:val="000000"/>
          <w:sz w:val="28"/>
          <w:szCs w:val="28"/>
          <w:lang w:val="ru-RU" w:eastAsia="ru-RU" w:bidi="ar-SA"/>
        </w:rPr>
        <w:t>В соответствии с пунктом 13 статьи 39.13 Земельного кодекса Российской Федерации по результатам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spacing w:lineRule="auto" w:line="276" w:before="0" w:after="0"/>
        <w:ind w:hanging="0" w:left="0" w:right="0"/>
        <w:jc w:val="both"/>
        <w:rPr>
          <w:b/>
          <w:bCs/>
        </w:rPr>
      </w:pPr>
      <w:r>
        <w:rPr>
          <w:b/>
          <w:bCs/>
        </w:rPr>
      </w:r>
    </w:p>
    <w:p>
      <w:pPr>
        <w:pStyle w:val="Normal"/>
        <w:spacing w:lineRule="auto" w:line="276" w:before="0" w:after="0"/>
        <w:ind w:hanging="0" w:left="0" w:right="0"/>
        <w:jc w:val="both"/>
        <w:rPr>
          <w:b/>
          <w:bCs/>
        </w:rPr>
      </w:pPr>
      <w:r>
        <w:rPr>
          <w:b/>
          <w:bCs/>
        </w:rPr>
      </w:r>
    </w:p>
    <w:p>
      <w:pPr>
        <w:pStyle w:val="Normal"/>
        <w:jc w:val="both"/>
        <w:rPr>
          <w:sz w:val="28"/>
          <w:szCs w:val="28"/>
          <w:highlight w:val="none"/>
        </w:rPr>
      </w:pPr>
      <w:r>
        <w:rPr>
          <w:sz w:val="28"/>
          <w:szCs w:val="28"/>
        </w:rPr>
        <w:t>Председатель комиссии                                                                        А.А. Хаткевич</w:t>
      </w:r>
    </w:p>
    <w:p>
      <w:pPr>
        <w:pStyle w:val="Normal"/>
        <w:jc w:val="both"/>
        <w:rPr>
          <w:sz w:val="28"/>
          <w:szCs w:val="28"/>
        </w:rPr>
      </w:pPr>
      <w:r>
        <w:rPr>
          <w:sz w:val="28"/>
          <w:szCs w:val="28"/>
        </w:rPr>
        <w:t xml:space="preserve"> </w:t>
      </w:r>
    </w:p>
    <w:p>
      <w:pPr>
        <w:pStyle w:val="Normal"/>
        <w:spacing w:before="120" w:after="120"/>
        <w:ind w:hanging="5610" w:left="5610"/>
        <w:rPr>
          <w:sz w:val="28"/>
          <w:szCs w:val="28"/>
        </w:rPr>
      </w:pPr>
      <w:r>
        <w:rPr>
          <w:sz w:val="28"/>
          <w:szCs w:val="28"/>
          <w:lang w:eastAsia="en-US"/>
        </w:rPr>
        <w:t>Заместитель председателя комиссии</w:t>
      </w:r>
      <w:r>
        <w:rPr>
          <w:sz w:val="28"/>
          <w:szCs w:val="28"/>
        </w:rPr>
        <w:t xml:space="preserve"> </w:t>
        <w:tab/>
        <w:tab/>
        <w:tab/>
        <w:tab/>
        <w:t xml:space="preserve">            Е.П. Шафранова</w:t>
      </w:r>
    </w:p>
    <w:p>
      <w:pPr>
        <w:pStyle w:val="Normal"/>
        <w:spacing w:before="120" w:after="120"/>
        <w:ind w:hanging="5610" w:left="5610"/>
        <w:rPr>
          <w:sz w:val="28"/>
          <w:szCs w:val="28"/>
        </w:rPr>
      </w:pPr>
      <w:r>
        <w:rPr>
          <w:sz w:val="28"/>
          <w:szCs w:val="28"/>
        </w:rPr>
      </w:r>
    </w:p>
    <w:p>
      <w:pPr>
        <w:pStyle w:val="Normal"/>
        <w:spacing w:before="120" w:after="120"/>
        <w:ind w:hanging="5610" w:left="5610"/>
        <w:rPr>
          <w:sz w:val="28"/>
          <w:szCs w:val="28"/>
        </w:rPr>
      </w:pPr>
      <w:r>
        <w:rPr>
          <w:sz w:val="28"/>
          <w:szCs w:val="28"/>
        </w:rPr>
        <w:t>Секретарь комиссии</w:t>
      </w:r>
      <w:r>
        <w:rPr>
          <w:sz w:val="28"/>
          <w:szCs w:val="28"/>
          <w:lang w:val="ru-RU" w:eastAsia="ru-RU" w:bidi="ar-SA"/>
        </w:rPr>
        <w:t xml:space="preserve"> </w:t>
        <w:tab/>
        <w:tab/>
        <w:tab/>
        <w:tab/>
        <w:t xml:space="preserve">            О.И. Павлова</w:t>
      </w:r>
    </w:p>
    <w:p>
      <w:pPr>
        <w:pStyle w:val="Normal"/>
        <w:spacing w:before="120" w:after="120"/>
        <w:rPr>
          <w:sz w:val="28"/>
          <w:szCs w:val="28"/>
        </w:rPr>
      </w:pPr>
      <w:r>
        <w:rPr>
          <w:sz w:val="28"/>
          <w:szCs w:val="28"/>
        </w:rPr>
      </w:r>
    </w:p>
    <w:p>
      <w:pPr>
        <w:pStyle w:val="Normal"/>
        <w:spacing w:before="120" w:after="120"/>
        <w:rPr>
          <w:sz w:val="28"/>
          <w:szCs w:val="24"/>
        </w:rPr>
      </w:pPr>
      <w:r>
        <w:rPr>
          <w:sz w:val="28"/>
          <w:szCs w:val="24"/>
        </w:rPr>
        <w:t xml:space="preserve">Член комиссии </w:t>
        <w:tab/>
        <w:tab/>
        <w:tab/>
        <w:tab/>
        <w:tab/>
        <w:tab/>
        <w:tab/>
        <w:tab/>
        <w:t xml:space="preserve">            </w:t>
      </w:r>
      <w:r>
        <w:rPr>
          <w:sz w:val="28"/>
          <w:szCs w:val="24"/>
        </w:rPr>
        <w:t>О.И. Камских</w:t>
      </w:r>
    </w:p>
    <w:p>
      <w:pPr>
        <w:pStyle w:val="Normal"/>
        <w:spacing w:lineRule="auto" w:line="276" w:before="120" w:after="120"/>
        <w:ind w:hanging="0"/>
        <w:rPr>
          <w:sz w:val="28"/>
          <w:szCs w:val="28"/>
        </w:rPr>
      </w:pPr>
      <w:r>
        <w:rPr>
          <w:sz w:val="28"/>
          <w:szCs w:val="28"/>
        </w:rPr>
      </w:r>
    </w:p>
    <w:sectPr>
      <w:footerReference w:type="even" r:id="rId2"/>
      <w:footerReference w:type="default" r:id="rId3"/>
      <w:footerReference w:type="first" r:id="rId4"/>
      <w:type w:val="nextPage"/>
      <w:pgSz w:w="11906" w:h="16838"/>
      <w:pgMar w:left="1418" w:right="567" w:gutter="0" w:header="0" w:top="786"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Open Sans">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ind w:right="360"/>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ind w:right="360"/>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Square wrapText="bothSides"/>
              <wp:docPr id="2" name="Врезка3"/>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1">
              <wp:simplePos x="0" y="0"/>
              <wp:positionH relativeFrom="margin">
                <wp:align>right</wp:align>
              </wp:positionH>
              <wp:positionV relativeFrom="paragraph">
                <wp:posOffset>635</wp:posOffset>
              </wp:positionV>
              <wp:extent cx="76835" cy="173990"/>
              <wp:effectExtent l="0" t="0" r="0" b="0"/>
              <wp:wrapSquare wrapText="bothSides"/>
              <wp:docPr id="3"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2">
              <wp:simplePos x="0" y="0"/>
              <wp:positionH relativeFrom="margin">
                <wp:align>right</wp:align>
              </wp:positionH>
              <wp:positionV relativeFrom="paragraph">
                <wp:posOffset>635</wp:posOffset>
              </wp:positionV>
              <wp:extent cx="76835" cy="173990"/>
              <wp:effectExtent l="0" t="0" r="0" b="0"/>
              <wp:wrapSquare wrapText="bothSides"/>
              <wp:docPr id="4"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3">
              <wp:simplePos x="0" y="0"/>
              <wp:positionH relativeFrom="margin">
                <wp:align>right</wp:align>
              </wp:positionH>
              <wp:positionV relativeFrom="paragraph">
                <wp:posOffset>635</wp:posOffset>
              </wp:positionV>
              <wp:extent cx="76835" cy="173990"/>
              <wp:effectExtent l="0" t="0" r="0" b="0"/>
              <wp:wrapSquare wrapText="bothSides"/>
              <wp:docPr id="5"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4">
              <wp:simplePos x="0" y="0"/>
              <wp:positionH relativeFrom="margin">
                <wp:align>right</wp:align>
              </wp:positionH>
              <wp:positionV relativeFrom="paragraph">
                <wp:posOffset>635</wp:posOffset>
              </wp:positionV>
              <wp:extent cx="76835" cy="173990"/>
              <wp:effectExtent l="0" t="0" r="0" b="0"/>
              <wp:wrapSquare wrapText="bothSides"/>
              <wp:docPr id="6"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5">
              <wp:simplePos x="0" y="0"/>
              <wp:positionH relativeFrom="margin">
                <wp:align>right</wp:align>
              </wp:positionH>
              <wp:positionV relativeFrom="paragraph">
                <wp:posOffset>635</wp:posOffset>
              </wp:positionV>
              <wp:extent cx="76835" cy="173990"/>
              <wp:effectExtent l="0" t="0" r="0" b="0"/>
              <wp:wrapSquare wrapText="bothSides"/>
              <wp:docPr id="7"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6">
              <wp:simplePos x="0" y="0"/>
              <wp:positionH relativeFrom="margin">
                <wp:align>right</wp:align>
              </wp:positionH>
              <wp:positionV relativeFrom="paragraph">
                <wp:posOffset>635</wp:posOffset>
              </wp:positionV>
              <wp:extent cx="76835" cy="173990"/>
              <wp:effectExtent l="0" t="0" r="0" b="0"/>
              <wp:wrapSquare wrapText="bothSides"/>
              <wp:docPr id="8"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9">
              <wp:simplePos x="0" y="0"/>
              <wp:positionH relativeFrom="margin">
                <wp:align>right</wp:align>
              </wp:positionH>
              <wp:positionV relativeFrom="paragraph">
                <wp:posOffset>635</wp:posOffset>
              </wp:positionV>
              <wp:extent cx="76835" cy="173990"/>
              <wp:effectExtent l="0" t="0" r="0" b="0"/>
              <wp:wrapSquare wrapText="bothSides"/>
              <wp:docPr id="9"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3</w:t>
                          </w:r>
                          <w:r>
                            <w:rPr>
                              <w:rStyle w:val="Style10"/>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3</w:t>
                    </w:r>
                    <w:r>
                      <w:rPr>
                        <w:rStyle w:val="Style10"/>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9">
              <wp:simplePos x="0" y="0"/>
              <wp:positionH relativeFrom="margin">
                <wp:align>right</wp:align>
              </wp:positionH>
              <wp:positionV relativeFrom="paragraph">
                <wp:posOffset>635</wp:posOffset>
              </wp:positionV>
              <wp:extent cx="76835" cy="173990"/>
              <wp:effectExtent l="0" t="0" r="0" b="0"/>
              <wp:wrapSquare wrapText="bothSides"/>
              <wp:docPr id="10"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3</w:t>
                          </w:r>
                          <w:r>
                            <w:rPr>
                              <w:rStyle w:val="Style10"/>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3</w:t>
                    </w:r>
                    <w:r>
                      <w:rPr>
                        <w:rStyle w:val="Style10"/>
                        <w:color w:val="000000"/>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ru-RU"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3">
    <w:name w:val="Основной текст с отступом 3 Знак"/>
    <w:qFormat/>
    <w:rPr>
      <w:sz w:val="16"/>
      <w:szCs w:val="16"/>
    </w:rPr>
  </w:style>
  <w:style w:type="character" w:styleId="Style8">
    <w:name w:val="Текст Знак"/>
    <w:qFormat/>
    <w:rPr>
      <w:rFonts w:ascii="Courier New" w:hAnsi="Courier New"/>
    </w:rPr>
  </w:style>
  <w:style w:type="character" w:styleId="Style9">
    <w:name w:val="Текст выноски Знак"/>
    <w:qFormat/>
    <w:rPr>
      <w:rFonts w:ascii="Tahoma" w:hAnsi="Tahoma" w:cs="Tahoma"/>
      <w:sz w:val="16"/>
      <w:szCs w:val="16"/>
    </w:rPr>
  </w:style>
  <w:style w:type="character" w:styleId="Style10">
    <w:name w:val="Основной текст с отступом Знак"/>
    <w:qFormat/>
    <w:rPr>
      <w:sz w:val="24"/>
      <w:szCs w:val="24"/>
    </w:rPr>
  </w:style>
  <w:style w:type="character" w:styleId="Style11">
    <w:name w:val="Верхний колонтитул Знак"/>
    <w:qFormat/>
    <w:rPr>
      <w:sz w:val="24"/>
      <w:szCs w:val="24"/>
    </w:rPr>
  </w:style>
  <w:style w:type="character" w:styleId="Style12">
    <w:name w:val="Нижний колонтитул Знак"/>
    <w:qFormat/>
    <w:rPr>
      <w:sz w:val="24"/>
      <w:szCs w:val="24"/>
    </w:rPr>
  </w:style>
  <w:style w:type="character" w:styleId="Style13">
    <w:name w:val="Текст сноски Знак"/>
    <w:basedOn w:val="Style7"/>
    <w:qFormat/>
    <w:rPr/>
  </w:style>
  <w:style w:type="character" w:styleId="Style14">
    <w:name w:val="Знак сноски"/>
    <w:qFormat/>
    <w:rPr>
      <w:vertAlign w:val="superscript"/>
    </w:rPr>
  </w:style>
  <w:style w:type="character" w:styleId="DefaultParagraphFont" w:default="1">
    <w:name w:val="Default Paragraph Font"/>
    <w:uiPriority w:val="1"/>
    <w:semiHidden/>
    <w:unhideWhenUsed/>
    <w:qFormat/>
    <w:rPr/>
  </w:style>
  <w:style w:type="paragraph" w:styleId="Style15">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6">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Droid Sans Fallback" w:cs="Lohit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Style17">
    <w:name w:val="Колонтитул"/>
    <w:basedOn w:val="Normal"/>
    <w:qFormat/>
    <w:pPr/>
    <w:rPr/>
  </w:style>
  <w:style w:type="paragraph" w:styleId="Header">
    <w:name w:val="Header"/>
    <w:basedOn w:val="Normal"/>
    <w:uiPriority w:val="99"/>
    <w:unhideWhenUsed/>
    <w:pPr>
      <w:tabs>
        <w:tab w:val="clear" w:pos="708"/>
        <w:tab w:val="center" w:pos="4677" w:leader="none"/>
        <w:tab w:val="right" w:pos="9355" w:leader="none"/>
      </w:tabs>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5"/>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BodyTextIndent">
    <w:name w:val="Body Text Indent"/>
    <w:basedOn w:val="Normal"/>
    <w:pPr>
      <w:spacing w:before="0" w:after="120"/>
      <w:ind w:left="283"/>
    </w:pPr>
    <w:rPr>
      <w:lang w:val="en-US" w:eastAsia="en-US"/>
    </w:rPr>
  </w:style>
  <w:style w:type="paragraph" w:styleId="Style18">
    <w:name w:val="Текст"/>
    <w:basedOn w:val="Normal"/>
    <w:qFormat/>
    <w:pPr/>
    <w:rPr>
      <w:rFonts w:ascii="Courier New" w:hAnsi="Courier New"/>
      <w:sz w:val="20"/>
      <w:szCs w:val="20"/>
      <w:lang w:val="en-US" w:eastAsia="en-US"/>
    </w:rPr>
  </w:style>
  <w:style w:type="paragraph" w:styleId="Style19">
    <w:name w:val="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31">
    <w:name w:val="Основной текст с отступом 3"/>
    <w:basedOn w:val="Normal"/>
    <w:qFormat/>
    <w:pPr>
      <w:spacing w:before="0" w:after="120"/>
      <w:ind w:left="283"/>
    </w:pPr>
    <w:rPr>
      <w:sz w:val="16"/>
      <w:szCs w:val="16"/>
      <w:lang w:val="en-US" w:eastAsia="en-US"/>
    </w:rPr>
  </w:style>
  <w:style w:type="paragraph" w:styleId="Style20">
    <w:name w:val="Текст выноски"/>
    <w:basedOn w:val="Normal"/>
    <w:qFormat/>
    <w:pPr/>
    <w:rPr>
      <w:rFonts w:ascii="Tahoma" w:hAnsi="Tahoma"/>
      <w:sz w:val="16"/>
      <w:szCs w:val="16"/>
      <w:lang w:val="en-US" w:eastAsia="en-US"/>
    </w:rPr>
  </w:style>
  <w:style w:type="paragraph" w:styleId="Style21">
    <w:name w:val="Текст сноски"/>
    <w:basedOn w:val="Normal"/>
    <w:qFormat/>
    <w:pPr/>
    <w:rPr>
      <w:sz w:val="20"/>
      <w:szCs w:val="20"/>
    </w:rPr>
  </w:style>
  <w:style w:type="paragraph" w:styleId="Style22">
    <w:name w:val="Содержимое врезки"/>
    <w:basedOn w:val="Normal"/>
    <w:qFormat/>
    <w:pPr/>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numbering" w:styleId="Style25">
    <w:name w:val="Нет списка"/>
    <w:semiHidden/>
    <w:qFormat/>
  </w:style>
  <w:style w:type="numbering" w:styleId="NoList" w:default="1">
    <w:name w:val="No List"/>
    <w:uiPriority w:val="99"/>
    <w:semiHidden/>
    <w:unhideWhenUsed/>
    <w:qFormat/>
  </w:style>
  <w:style w:type="table" w:styleId="954">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55">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56">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957">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958">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959">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960">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961">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962">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963">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964">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965">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966">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967">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968">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969">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970">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971">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972">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973">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974">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975">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76">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77">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78">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79">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80">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81">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82">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983">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984">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985">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986">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987">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988">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989">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990">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991">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992">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993">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994">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995">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996">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997">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998">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999">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1000">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1001">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1002">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1003">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1004">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1005">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1006">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1007">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1008">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1009">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1010">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1011">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1012">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1013">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1014">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1015">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1016">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1017">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1018">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1019">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1020">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1021">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1022">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1023">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1024">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1025">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1026">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1027">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1028">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1029">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1030">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1031">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1032">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1033">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1034">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1035">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1036">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1037">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1038">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1039">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1040">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1041">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1042">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1043">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1044">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1045">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1046">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1047">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1048">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1049">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1050">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1051">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1052">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1053">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1054">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1055">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1056">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1057">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1058">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1059">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1060">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1061">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1062">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1063">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1064">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1065">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1066">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1067">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1068">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1069">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1070">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1071">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1072">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1073">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1074">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1075">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1076">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1077">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1078">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1079">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1080">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TotalTime>
  <Application>LibreOffice/7.6.7.2$Linux_X86_64 LibreOffice_project/60$Build-2</Application>
  <AppVersion>15.0000</AppVersion>
  <Pages>3</Pages>
  <Words>526</Words>
  <Characters>3610</Characters>
  <CharactersWithSpaces>4588</CharactersWithSpaces>
  <Paragraphs>58</Paragraphs>
  <Company>Деп. имущественных отношений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2015-07-02T10:18:00Z</dcterms:created>
  <dc:creator>bna</dc:creator>
  <dc:description/>
  <dc:language>ru-RU</dc:language>
  <cp:lastModifiedBy/>
  <dcterms:modified xsi:type="dcterms:W3CDTF">2025-07-23T10:00:56Z</dcterms:modified>
  <cp:revision>1079</cp:revision>
  <dc:subject/>
  <dc:title>Департамент имущественных отношений</dc:title>
  <cp:version>1048576</cp:version>
</cp:coreProperties>
</file>

<file path=docProps/custom.xml><?xml version="1.0" encoding="utf-8"?>
<Properties xmlns="http://schemas.openxmlformats.org/officeDocument/2006/custom-properties" xmlns:vt="http://schemas.openxmlformats.org/officeDocument/2006/docPropsVTypes"/>
</file>