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переносе электронных </w:t>
      </w:r>
      <w:r>
        <w:rPr>
          <w:b w:val="0"/>
          <w:bCs w:val="0"/>
          <w:sz w:val="24"/>
          <w:szCs w:val="24"/>
        </w:rPr>
        <w:t xml:space="preserve">аукционов по продаже земельных участков, назначенных </w:t>
        <w:br/>
        <w:t xml:space="preserve">на 29.07.2025.</w:t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</w:t>
      </w:r>
      <w:r>
        <w:rPr>
          <w:b w:val="0"/>
          <w:bCs w:val="0"/>
          <w:sz w:val="24"/>
          <w:szCs w:val="24"/>
        </w:rPr>
        <w:t xml:space="preserve">аукционы по продаже земельных участков, назначенные на 29.07.2025, перенесены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аукционов </w:t>
      </w:r>
      <w:r>
        <w:rPr>
          <w:b w:val="0"/>
          <w:bCs w:val="0"/>
        </w:rPr>
        <w:t xml:space="preserve">перенесена с 29.07.2025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28.07.2025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b w:val="0"/>
          <w:bCs w:val="0"/>
          <w:highlight w:val="yellow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  <w:t xml:space="preserve">21000012310000000251</w:t>
      </w:r>
      <w:r>
        <w:rPr>
          <w:b w:val="0"/>
          <w:bCs w:val="0"/>
          <w:highlight w:val="none"/>
        </w:rPr>
        <w:t xml:space="preserve">. 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22</cp:revision>
  <dcterms:created xsi:type="dcterms:W3CDTF">2018-06-19T09:22:00Z</dcterms:created>
  <dcterms:modified xsi:type="dcterms:W3CDTF">2025-07-30T12:06:01Z</dcterms:modified>
  <cp:version>1048576</cp:version>
</cp:coreProperties>
</file>