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переносе электронного </w:t>
      </w:r>
      <w:r>
        <w:rPr>
          <w:b w:val="0"/>
          <w:bCs w:val="0"/>
          <w:sz w:val="24"/>
          <w:szCs w:val="24"/>
        </w:rPr>
        <w:t xml:space="preserve">аукциона на право заключения договора аренды земельного участка, назначенного на 31.07.2025.</w:t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</w:t>
      </w:r>
      <w:r>
        <w:rPr>
          <w:b w:val="0"/>
          <w:bCs w:val="0"/>
        </w:rPr>
        <w:t xml:space="preserve">электронный </w:t>
      </w:r>
      <w:r>
        <w:rPr>
          <w:b w:val="0"/>
          <w:bCs w:val="0"/>
          <w:sz w:val="24"/>
          <w:szCs w:val="24"/>
        </w:rPr>
        <w:t xml:space="preserve">аукцион на право заключения договора аренды земельного участка, назначенный на 31.07.2025</w:t>
      </w:r>
      <w:r>
        <w:rPr>
          <w:b w:val="0"/>
          <w:bCs w:val="0"/>
          <w:sz w:val="24"/>
          <w:szCs w:val="24"/>
        </w:rPr>
        <w:t xml:space="preserve">, перенесен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аукциона </w:t>
      </w:r>
      <w:r>
        <w:rPr>
          <w:b w:val="0"/>
          <w:bCs w:val="0"/>
        </w:rPr>
        <w:t xml:space="preserve">перенесена с 31.07.2025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30.07.2025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b w:val="0"/>
          <w:bCs w:val="0"/>
          <w:highlight w:val="yellow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21000012310000000234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. 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22</cp:revision>
  <dcterms:created xsi:type="dcterms:W3CDTF">2018-06-19T09:22:00Z</dcterms:created>
  <dcterms:modified xsi:type="dcterms:W3CDTF">2025-07-30T12:05:01Z</dcterms:modified>
  <cp:version>1048576</cp:version>
</cp:coreProperties>
</file>