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 xml:space="preserve">аукционе, назначенном                           на 13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250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6180099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),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59:01:5010065:123 площадью 1000 кв. м, расположенного по адресу: Российская Федерация, Пермский край, городской округ Пермский, город Пермь, жилой район Ново-Бродовский, улица Малино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вая, з/у 35,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Номер заявки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Дата и время подачи заявки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Сведения               о внесенном задатке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Решение комиссии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none"/>
              </w:rPr>
              <w:t xml:space="preserve">9556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yellow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08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.08.2025 17:56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295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 500,00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  <w:t xml:space="preserve">7136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yellow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11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.08.2025 09:35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295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 500,00</w:t>
            </w:r>
            <w:r>
              <w:rPr>
                <w:highlight w:val="white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  <w:r>
              <w:rPr>
                <w:highlight w:val="white"/>
              </w:rPr>
            </w:r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highlight w:val="whit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1088</cp:revision>
  <dcterms:created xsi:type="dcterms:W3CDTF">2015-07-02T10:18:00Z</dcterms:created>
  <dcterms:modified xsi:type="dcterms:W3CDTF">2025-08-12T04:39:48Z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