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0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4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14.08.2025 № 059-19-01-11-112</w:t>
      </w:r>
      <w:r>
        <w:rPr>
          <w:sz w:val="28"/>
          <w:szCs w:val="28"/>
        </w:rPr>
      </w:r>
    </w:p>
    <w:p>
      <w:pPr>
        <w:pStyle w:val="684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02.10.2025 электронного аукциона по продаже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84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Электронный аукцион по продаже земельного участка (далее – аукцион) проводится                      в соответствии со статьями 39.11,</w:t>
      </w:r>
      <w:r>
        <w:rPr>
          <w:shd w:val="clear" w:color="auto" w:fill="ffffff"/>
        </w:rPr>
        <w:t xml:space="preserve">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от 20 ноября 2008 г. № 1089 «О комиссии по проведению аукционов по продаже земельных участков, находящихся в муниципальной собственности города Перми, </w:t>
        <w:br/>
        <w:t xml:space="preserve">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  <w:br/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67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14.08.2025 № 059-19-01-11-112.</w:t>
      </w:r>
      <w:r>
        <w:rPr>
          <w:sz w:val="24"/>
          <w:szCs w:val="24"/>
        </w:rPr>
      </w:r>
    </w:p>
    <w:p>
      <w:pPr>
        <w:pStyle w:val="813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67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67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67"/>
            <w:sz w:val="24"/>
            <w:szCs w:val="24"/>
          </w:rPr>
          <w:t xml:space="preserve">http</w:t>
        </w:r>
        <w:r>
          <w:rPr>
            <w:rStyle w:val="767"/>
            <w:sz w:val="24"/>
            <w:szCs w:val="24"/>
            <w:lang w:val="ru-RU"/>
          </w:rPr>
          <w:t xml:space="preserve">://</w:t>
        </w:r>
        <w:r>
          <w:rPr>
            <w:rStyle w:val="767"/>
            <w:sz w:val="24"/>
            <w:szCs w:val="24"/>
          </w:rPr>
          <w:t xml:space="preserve">utp</w:t>
        </w:r>
        <w:r>
          <w:rPr>
            <w:rStyle w:val="767"/>
            <w:sz w:val="24"/>
            <w:szCs w:val="24"/>
            <w:lang w:val="ru-RU"/>
          </w:rPr>
          <w:t xml:space="preserve">.</w:t>
        </w:r>
        <w:r>
          <w:rPr>
            <w:rStyle w:val="767"/>
            <w:sz w:val="24"/>
            <w:szCs w:val="24"/>
          </w:rPr>
          <w:t xml:space="preserve">sberbank</w:t>
        </w:r>
        <w:r>
          <w:rPr>
            <w:rStyle w:val="767"/>
            <w:sz w:val="24"/>
            <w:szCs w:val="24"/>
            <w:lang w:val="ru-RU"/>
          </w:rPr>
          <w:t xml:space="preserve">-</w:t>
        </w:r>
        <w:r>
          <w:rPr>
            <w:rStyle w:val="767"/>
            <w:sz w:val="24"/>
            <w:szCs w:val="24"/>
          </w:rPr>
          <w:t xml:space="preserve">ast</w:t>
        </w:r>
        <w:r>
          <w:rPr>
            <w:rStyle w:val="767"/>
            <w:sz w:val="24"/>
            <w:szCs w:val="24"/>
            <w:lang w:val="ru-RU"/>
          </w:rPr>
          <w:t xml:space="preserve">.</w:t>
        </w:r>
        <w:r>
          <w:rPr>
            <w:rStyle w:val="767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84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67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67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67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67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84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67"/>
          <w:bCs/>
          <w:sz w:val="24"/>
          <w:szCs w:val="24"/>
          <w:lang w:val="en-US"/>
        </w:rPr>
        <w:t xml:space="preserve">dzo</w:t>
      </w:r>
      <w:r>
        <w:rPr>
          <w:rStyle w:val="767"/>
          <w:bCs/>
          <w:sz w:val="24"/>
          <w:szCs w:val="24"/>
        </w:rPr>
        <w:t xml:space="preserve">@</w:t>
      </w:r>
      <w:r>
        <w:rPr>
          <w:rStyle w:val="767"/>
          <w:bCs/>
          <w:sz w:val="24"/>
          <w:szCs w:val="24"/>
          <w:lang w:val="en-US"/>
        </w:rPr>
        <w:t xml:space="preserve">perm</w:t>
      </w:r>
      <w:r>
        <w:rPr>
          <w:rStyle w:val="767"/>
          <w:bCs/>
          <w:sz w:val="24"/>
          <w:szCs w:val="24"/>
        </w:rPr>
        <w:t xml:space="preserve">.</w:t>
      </w:r>
      <w:r>
        <w:rPr>
          <w:rStyle w:val="767"/>
          <w:bCs/>
          <w:sz w:val="24"/>
          <w:szCs w:val="24"/>
          <w:lang w:val="en-US"/>
        </w:rPr>
        <w:t xml:space="preserve">permkrai</w:t>
      </w:r>
      <w:r>
        <w:rPr>
          <w:rStyle w:val="767"/>
          <w:bCs/>
          <w:sz w:val="24"/>
          <w:szCs w:val="24"/>
        </w:rPr>
        <w:t xml:space="preserve">.</w:t>
      </w:r>
      <w:r>
        <w:rPr>
          <w:rStyle w:val="767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84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84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3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84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 xml:space="preserve">от 01 августа 2025 г. № 21-01-03-6203 «О проведении аукциона по продаже земельного участка 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-283" w:hanging="340"/>
              <w:jc w:val="both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местоположение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Борцов </w:t>
            </w:r>
            <w:r>
              <w:rPr>
                <w:sz w:val="24"/>
                <w:szCs w:val="24"/>
              </w:rPr>
              <w:t xml:space="preserve">Революции, з/у 137в</w:t>
            </w:r>
            <w:r>
              <w:rPr>
                <w:sz w:val="24"/>
                <w:szCs w:val="24"/>
              </w:rPr>
            </w:r>
            <w:r/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996</w:t>
            </w:r>
            <w:r>
              <w:rPr>
                <w:sz w:val="24"/>
                <w:szCs w:val="24"/>
              </w:rPr>
              <w:t xml:space="preserve">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59:01:2010350:155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rFonts w:eastAsia="TimesNewRomanPSMT"/>
                <w:color w:val="auto"/>
                <w:sz w:val="24"/>
                <w:szCs w:val="24"/>
                <w:highlight w:val="none"/>
              </w:rPr>
              <w:t xml:space="preserve">12.08.2025г. </w:t>
              <w:br/>
              <w:t xml:space="preserve">№ КУВИ-001/2025-154299244</w:t>
            </w:r>
            <w:r>
              <w:rPr>
                <w:sz w:val="24"/>
                <w:szCs w:val="24"/>
              </w:rPr>
              <w:t xml:space="preserve"> 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</w:t>
            </w:r>
            <w:r>
              <w:rPr>
                <w:rFonts w:ascii="Times New Roman" w:hAnsi="Times New Roman"/>
                <w:sz w:val="24"/>
              </w:rPr>
              <w:t xml:space="preserve">06.</w:t>
            </w:r>
            <w:r>
              <w:rPr>
                <w:rFonts w:ascii="Times New Roman" w:hAnsi="Times New Roman"/>
                <w:sz w:val="24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1476-0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77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со сведениями из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ЕГРН, геодезической съемкой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выполненной в 2025 году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копией планшета М 1:500 (требуется корректировка),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бъекты капитального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/некапитального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строительства в границах Участка отсутствуют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 Участке самовольно установленных и незаконно размещенных движимых объектов не обнаружено.</w:t>
            </w:r>
            <w:r/>
          </w:p>
          <w:p>
            <w:pPr>
              <w:ind w:firstLine="34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Ближайший к Участку источник противопожарного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водоснабжения (подземный пожарный водоем) находится на расстоянии до 280 м.</w:t>
            </w:r>
            <w:r/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администрации Ленинского района города Перми</w:t>
            </w:r>
            <w:r>
              <w:rPr>
                <w:sz w:val="24"/>
                <w:szCs w:val="24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27.06.2025 № 059-39-01-16/3-133, акте выездного обследования от 26.06.2025 № б/н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сведениям, содержащимся в ГПЗУ,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ЕГРН </w:t>
              <w:br/>
              <w:t xml:space="preserve">и справке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по градостроительным условиям от 30.07.2025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63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9285 Участок расположен в границах зоны </w:t>
              <w:br/>
              <w:t xml:space="preserve">с особыми усл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овиями использования территории: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олностью в приаэродромной территории аэродрома аэропорта Большое Савино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, реестровый номер 59:32-6.553.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Проектирование и строительство вести </w:t>
              <w:br/>
              <w:t xml:space="preserve">в соответствии: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постановлением Правительства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11.03.2010 г. № 138 «Об утверждении Федеральных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правил использования воздушного пространства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»</w:t>
            </w:r>
            <w:r>
              <w:t xml:space="preserve">.</w:t>
            </w:r>
            <w:r/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а Участке произрастает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24 дерева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 – ива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23 шт.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, береза 1 шт.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редняя стоимость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в ценах 2025 года одного дерева лиственной породы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от 25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 тыс. руб.,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а хвойной –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от 30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соблюдать условия строительства, перечисленные в перечне мероприятий </w:t>
              <w:br/>
              <w:t xml:space="preserve">по охране окружающей среды от 25.06.2025 № 185 (прилагается).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26.06.2025 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№ 059-33-01-10/3-396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ограммой «Дорожная деятельность </w:t>
              <w:br/>
              <w:t xml:space="preserve">и благоустройство города Перми», утвержденной постановлением администрации города Перми </w:t>
              <w:br/>
              <w:t xml:space="preserve">от 18.10.2024 № 966, на период 2025-2029 годы мероприятия </w:t>
              <w:br/>
              <w:t xml:space="preserve">по строительству, реконструкции, капитальному ремонту улично-дорожной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рассматриваемой территории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письме.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Дополнительно сообщается о необходимости соблюдения </w:t>
              <w:br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 строительстве объекта недвижимости на Участке, предоставленном на аукционе, Правил благоустройства территории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города Перми, утвержденных решением Пермской городской Думы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15.12.2020 № 277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«Об утверждении правил благоустройства территории города Перми»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сведения сообщается, что в соответствии </w:t>
              <w:br/>
              <w:t xml:space="preserve">с Федеральным законом от 08.11.2007 № 257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 автомобильных дорогах и о дорожной деятельности</w:t>
              <w:br/>
              <w:t xml:space="preserve">в Российской Федерации и о внесении изменений </w:t>
              <w:br/>
              <w:t xml:space="preserve">в отдельные законодательные акты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расходы на строительства, реконструкцию, капитальный ремонт, ремонт пересечений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примыканий, в том числе расходы на выполнение дополнительных работ связа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17.06.2025 № 059-24-01-36/3-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2071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Источник противопожарного водоснабжения (пожарный водоем)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расположен по адресу: ул. Борцов Революции,153а.</w:t>
            </w:r>
            <w:r/>
          </w:p>
          <w:p>
            <w:pPr>
              <w:ind w:firstLine="31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Ближайшие подразделения пожарной охраны расположены по адресам: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г. Пермь, ул. Ломоносова, 96 (ПЧ-1 6 ОППС ГКУ ПК «УГПС ПК»), г. Пермь, </w:t>
              <w:br/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ул. Екатерининская, 53 а (ПСЧ-110 10-ПСО).</w:t>
            </w:r>
            <w:r/>
          </w:p>
          <w:p>
            <w:pPr>
              <w:ind w:firstLine="31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Информация о подразделениях пожарной охраны </w:t>
              <w:br/>
              <w:t xml:space="preserve">и времени их прибытия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содержится в «Расписании выезда подразделений Пермского местного пожарно-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спасательного гарнизона для тушения пожаров </w:t>
              <w:br/>
              <w:t xml:space="preserve">и проведения аварийно-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спасательных работ на территории Пермского городского округа, Пермского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муниципального района», утвержденном Главой города Перми 26.04.2024.</w:t>
            </w:r>
            <w:r/>
          </w:p>
          <w:p>
            <w:pPr>
              <w:ind w:firstLine="31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Помещения для аварийно-спасательных формирований </w:t>
              <w:br/>
              <w:t xml:space="preserve">на указанной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территории отсутствуют. В настоящее время потребность в обеспечении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служебными помещениями для аварийно-спасательных формирований в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указанном районе отсутствует.</w:t>
            </w:r>
            <w:r/>
          </w:p>
          <w:p>
            <w:pPr>
              <w:ind w:firstLine="31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Объекты общественной безопасности, отнесенные</w:t>
              <w:br/>
              <w:t xml:space="preserve">к объектам полиции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(участковые пункты полиции) </w:t>
              <w:br/>
              <w:t xml:space="preserve">в данном микрорайоне (Камская Долина)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отсутствуют. Ближайший участковый пункт расположен по адресу: </w:t>
              <w:br/>
              <w:t xml:space="preserve">г. Пермь,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ул. Профессора Дедюкина, д. 7 (микрорайон СтудГородок, Ленинский район).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В настоящее время </w:t>
              <w:br/>
              <w:t xml:space="preserve">в указанном микрорайоне строительство (приобретение)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участковых пунктов полиции не планируется.</w:t>
            </w:r>
            <w:r/>
          </w:p>
          <w:p>
            <w:pPr>
              <w:ind w:firstLine="31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По информации, предоставленной письмом Министерства территориальной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безопасности Пермского края от 07.10.2020 </w:t>
              <w:br/>
              <w:t xml:space="preserve">№ 964с, рассматриваемая территория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попадает в зону возможного химического заражения в особый период.</w:t>
            </w:r>
            <w:r/>
          </w:p>
          <w:p>
            <w:pPr>
              <w:ind w:firstLine="31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Данная территория находится в зоне действия региональной системы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оповещения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Перми,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установленной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адресу: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ул. Борцов Революции, д. 151– 600 м.</w:t>
            </w:r>
            <w:r/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(Аналогичная информация отражена в письме  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lang w:val="ru-RU"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-10-01-27/3-1298</w:t>
            </w:r>
            <w:r>
              <w:rPr>
                <w:sz w:val="24"/>
                <w:szCs w:val="24"/>
                <w:lang w:val="ru-RU" w:eastAsia="ru-RU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67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4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действие Приказом Министерства строительства и жилищно-коммунального хозяйства Российской Федерации </w:t>
              <w:br/>
              <w:t xml:space="preserve">от 20.10.2016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или несколько (общую комнату 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(или) душевые, туалет (у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борную) 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домах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 xml:space="preserve">с наклонными ограждающими конструкциями) допускается </w:t>
              <w:br/>
              <w:t xml:space="preserve">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(от пола </w:t>
              <w:br/>
              <w:t xml:space="preserve">до потолка) ком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        <w:br/>
              <w:t xml:space="preserve">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не менее 2,1 м,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 xml:space="preserve">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информации, содержащейся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в градостроительном плане </w:t>
            </w:r>
            <w:r>
              <w:rPr>
                <w:rFonts w:ascii="Times New Roman" w:hAnsi="Times New Roman"/>
                <w:sz w:val="24"/>
              </w:rPr>
              <w:t xml:space="preserve">земельного участка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</w:t>
            </w:r>
            <w:r>
              <w:rPr>
                <w:rFonts w:ascii="Times New Roman" w:hAnsi="Times New Roman"/>
                <w:sz w:val="24"/>
              </w:rPr>
              <w:t xml:space="preserve">06.</w:t>
            </w:r>
            <w:r>
              <w:rPr>
                <w:rFonts w:ascii="Times New Roman" w:hAnsi="Times New Roman"/>
                <w:sz w:val="24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1476-0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(далее – ГПЗУ), предельная высота</w:t>
            </w:r>
            <w:r>
              <w:rPr>
                <w:rFonts w:ascii="Times New Roman" w:hAnsi="Times New Roman"/>
                <w:sz w:val="24"/>
              </w:rPr>
              <w:t xml:space="preserve"> зданий, строений </w:t>
            </w:r>
            <w:r>
              <w:rPr>
                <w:rFonts w:ascii="Times New Roman" w:hAnsi="Times New Roman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</w:rPr>
              <w:t xml:space="preserve">10,5 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 xml:space="preserve">документация по планировке территории, утвержденная</w:t>
            </w:r>
            <w:r>
              <w:rPr>
                <w:rFonts w:ascii="Times New Roman" w:hAnsi="Times New Roman"/>
                <w:sz w:val="24"/>
              </w:rPr>
              <w:t xml:space="preserve"> постановлением ад</w:t>
            </w:r>
            <w:r>
              <w:rPr>
                <w:rFonts w:ascii="Times New Roman" w:hAnsi="Times New Roman"/>
                <w:sz w:val="24"/>
              </w:rPr>
              <w:t xml:space="preserve">министрации города Перми от 22.12.2017 № 1178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отступ </w:t>
            </w:r>
            <w:r>
              <w:rPr>
                <w:rFonts w:ascii="Times New Roman" w:hAnsi="Times New Roman"/>
                <w:sz w:val="24"/>
              </w:rPr>
              <w:t xml:space="preserve">от границ </w:t>
            </w:r>
            <w:r>
              <w:rPr>
                <w:rFonts w:ascii="Times New Roman" w:hAnsi="Times New Roman"/>
                <w:sz w:val="24"/>
              </w:rPr>
              <w:t xml:space="preserve">земельного участка </w:t>
              <w:br/>
              <w:t xml:space="preserve">до места</w:t>
            </w:r>
            <w:r>
              <w:rPr>
                <w:rFonts w:ascii="Times New Roman" w:hAnsi="Times New Roman"/>
                <w:sz w:val="24"/>
              </w:rPr>
              <w:t xml:space="preserve"> допустимого размещения зданий, строений</w:t>
            </w:r>
            <w:r>
              <w:rPr>
                <w:rFonts w:ascii="Times New Roman" w:hAnsi="Times New Roman"/>
                <w:sz w:val="24"/>
              </w:rPr>
              <w:t xml:space="preserve">, сооружений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(за и</w:t>
            </w:r>
            <w:r>
              <w:rPr>
                <w:rFonts w:ascii="Times New Roman" w:hAnsi="Times New Roman"/>
                <w:sz w:val="24"/>
              </w:rPr>
              <w:t xml:space="preserve">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3 м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</w:t>
            </w:r>
            <w:r>
              <w:rPr>
                <w:rFonts w:ascii="Times New Roman" w:hAnsi="Times New Roman"/>
                <w:sz w:val="24"/>
              </w:rPr>
              <w:t xml:space="preserve">дания на высоте </w:t>
              <w:br/>
              <w:t xml:space="preserve">не менее 4,5 м </w:t>
            </w:r>
            <w:r>
              <w:rPr>
                <w:rFonts w:ascii="Times New Roman" w:hAnsi="Times New Roman"/>
                <w:sz w:val="24"/>
              </w:rPr>
              <w:t xml:space="preserve">над территорией общего пользования, составляет не</w:t>
            </w:r>
            <w:r>
              <w:rPr>
                <w:rFonts w:ascii="Times New Roman" w:hAnsi="Times New Roman"/>
                <w:sz w:val="24"/>
              </w:rPr>
              <w:t xml:space="preserve">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процент </w:t>
            </w:r>
            <w:r>
              <w:rPr>
                <w:rFonts w:ascii="Times New Roman" w:hAnsi="Times New Roman"/>
                <w:sz w:val="24"/>
              </w:rPr>
              <w:t xml:space="preserve">застройки в границах Участка – 3</w:t>
            </w:r>
            <w:r>
              <w:rPr>
                <w:rFonts w:ascii="Times New Roman" w:hAnsi="Times New Roman"/>
                <w:sz w:val="24"/>
              </w:rPr>
              <w:t xml:space="preserve">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9" w:tooltip="http://www.gorodperm.ru/" w:history="1">
              <w:r>
                <w:rPr>
                  <w:rStyle w:val="767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наличии технической возможности технологического присоединения энергопринимающего устройства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объекта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сообщается следующее.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84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з</w:t>
            </w:r>
            <w:r>
              <w:rPr>
                <w:rFonts w:ascii="Times New Roman" w:hAnsi="Times New Roman"/>
                <w:spacing w:val="0"/>
                <w:sz w:val="24"/>
                <w:highlight w:val="white"/>
              </w:rPr>
              <w:t xml:space="preserve">ациям и иным лицам, к электрическим сетям, утвержденными постановлением Правительства Российской Федерации от 27.12.2004 № 861 (далее – Правила ТП).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highlight w:val="none"/>
              </w:rPr>
              <w:t xml:space="preserve">В силу</w:t>
            </w:r>
            <w:r>
              <w:rPr>
                <w:rFonts w:ascii="Times New Roman" w:hAnsi="Times New Roman"/>
                <w:spacing w:val="0"/>
                <w:sz w:val="24"/>
                <w:highlight w:val="none"/>
              </w:rPr>
              <w:t xml:space="preserve"> пункта 6 Правил ТП технологическое присоединение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highlight w:val="none"/>
              </w:rPr>
              <w:t xml:space="preserve">Для получения технических условий и заключения дог</w:t>
            </w:r>
            <w:r>
              <w:rPr>
                <w:rFonts w:ascii="Times New Roman" w:hAnsi="Times New Roman"/>
                <w:spacing w:val="0"/>
                <w:sz w:val="24"/>
                <w:highlight w:val="none"/>
              </w:rPr>
              <w:t xml:space="preserve">овора на технологическое присоединение необходимо направить </w:t>
              <w:br/>
              <w:t xml:space="preserve">в адрес фидиала ПАО «Россети Урал» - «Пермэнерго» соответствующую заявку на технологическое присоединение </w:t>
              <w:br/>
              <w:t xml:space="preserve">с указанием сведений и приложением необходимых документов в соответствии с Правилами ТП.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0"/>
                <w:sz w:val="24"/>
                <w:highlight w:val="none"/>
              </w:rPr>
              <w:t xml:space="preserve"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Заявку на технологическое присоединение можно подать через единый портал электросетевых услуг группы компаний «Россети» на сайте: httрs://портал-тп.рф, через Мобильное приложение ПAO «Россети» или при очном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приеме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Центре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обслуживания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клиентов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филиала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«Россети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Урал»-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«Пермэнерго»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адресу: г. Пермь, ул. Камчатовская, д. 26, а тaкжe почтовым отправлением по адресу: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14016, г. Пермь, ул. Камчатовская, 26.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 xml:space="preserve">ф</w:t>
            </w:r>
            <w:r>
              <w:rPr>
                <w:b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18.06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№ ПЭ/ПГЭС/01/22/7229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Техническая возможность подключения объекта капитального строительства с предполагаемой максимальной нагрузкой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(часовым расходом газа) 8м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/час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заявку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приложением необходимых документов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 постановлением Правительства Российской Федерации от 13.09.2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электронную почту post@pf.ugaz.ru, либо почтовым отп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равлением по адресу: г. Пермь,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ул. Уральская, 104, через Единый центр предоставления услуг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адресу:</w:t>
              <w:br/>
              <w:t xml:space="preserve">г. Пермь, ул. Уральская, д. 104, каб. 101.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ПФ-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4151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11"/>
                <w:sz w:val="24"/>
              </w:rPr>
              <w:suppressLineNumbers w:val="0"/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В районе Участка отсутствуют централизованные сети водопровода и канализации, эксплуатируемые ООО «НОВОГОР-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Прикамье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».</w:t>
            </w:r>
            <w:r>
              <w:rPr>
                <w:rFonts w:ascii="Times New Roman" w:hAnsi="Times New Roman"/>
                <w:spacing w:val="-11"/>
                <w:sz w:val="24"/>
              </w:rPr>
            </w:r>
            <w:r>
              <w:rPr>
                <w:rFonts w:ascii="Times New Roman" w:hAnsi="Times New Roman"/>
                <w:spacing w:val="-11"/>
                <w:sz w:val="24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Альтернативным методом снабжения водой вышеуказанного объекта может быть скважина, отвод канализационных стоков возможен на локальные очистные сооружения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либо в выгребную яму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 последующим вывозом стоков спец. машинами, при этом состав стоков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Для сведения сообщается, что в связи с тем, что ООО «НОВОГОР-Прикамье» эксплуатирует только централизованные системы во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оснабжения и водоотведения, по вопросу возможности обеспечения индивидуального жилого дома холодным водоснабжением от скважины </w:t>
              <w:br/>
              <w:t xml:space="preserve">и отвода канализационных стоков локально, предлагается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Размещение объект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а н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еобходимо предусмотреть строго </w:t>
              <w:br/>
              <w:t xml:space="preserve">за пределами охранных зон сетей водопровода и канализации в соответствии с нормами СП, в том числе в соответствии </w:t>
              <w:br/>
              <w:t xml:space="preserve">с таблицей 12.5 СП 42.13330.2016 «Градостроительство. Планировка и застройка городских и сельских поселений».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.06.2025 № 110-</w:t>
            </w:r>
            <w:r>
              <w:rPr>
                <w:rFonts w:ascii="Times New Roman" w:hAnsi="Times New Roman"/>
                <w:sz w:val="24"/>
              </w:rPr>
              <w:t xml:space="preserve">8941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ПАО               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24.06.2025 № 51000-32-02205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ехническая возможность подключения к сетям теплоснабжения отсутствует.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025 № 059-04-25/3-102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-ри</w:t>
            </w:r>
            <w:r>
              <w:rPr>
                <w:sz w:val="24"/>
                <w:szCs w:val="24"/>
              </w:rPr>
              <w:t xml:space="preserve"> 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ехническое присоединение планируемых к строительству объектов в границах Участка может быть произведено в точке подключения узел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ВОЛС (г. Пермь, ул. Попова, д. 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), максимальную нагрузку в точке подключения (технологического присоединения) определить на стадии проектирования. В границах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Участка сети связи ПАО «Ростелеком» отсутствуют.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4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Для подключения (тех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ействующим за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конодательством.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suppressLineNumbers w:val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t xml:space="preserve">Для получения ТУ на подключение к сетям связи </w:t>
              <w:br/>
              <w:t xml:space="preserve">ПАО «Ростелеком» необходимо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t xml:space="preserve">направить запрос на электронный адрес: perm-mail@ural.rt.ru.</w:t>
            </w:r>
            <w:r/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19.06.2025 № 01/05/90895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/25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территории, где расположен Участок,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рамках муниципальной программы «Развитие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системы жилищно – коммунального хозяйства 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г. Перми», утвержденной постановлением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администрации г. Перми от 20.10.2021 </w:t>
              <w:br/>
              <w:t xml:space="preserve">№ 924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реализовано мероприятие «Строительство сетей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водоснабжения по ул. Борцов Революции в мкр.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Средняя Курья Ленинского района г. Перми».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Строительство сетей водоотведения Схемами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водоснабжения и водоотведения города Перми, утвержденными постановлением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администрации города Перми от 28.12.2018 № 1085,</w:t>
              <w:br/>
              <w:t xml:space="preserve">на период до 2028 года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предусмотрено.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20.06.2025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059-04-17/3-538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4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4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3 714 000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185 700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 xml:space="preserve">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</w:t>
              <w:br/>
              <w:t xml:space="preserve">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1 857 500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1" w:name="_GoBack"/>
      <w:r/>
      <w:bookmarkEnd w:id="1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15.08.2025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30.09.2025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01.02.2025.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02.10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84"/>
        <w:jc w:val="both"/>
        <w:widowControl w:val="off"/>
      </w:pPr>
      <w:r/>
      <w:r/>
    </w:p>
    <w:p>
      <w:pPr>
        <w:pStyle w:val="684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84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4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84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84"/>
        <w:ind w:left="-567" w:firstLine="709"/>
        <w:jc w:val="both"/>
        <w:widowControl w:val="off"/>
      </w:pPr>
      <w:r/>
      <w:r/>
    </w:p>
    <w:p>
      <w:pPr>
        <w:pStyle w:val="68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4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0" w:tooltip="http://utp.sberbank-ast.ru/AP/Notice/653/Requisites" w:history="1">
        <w:r>
          <w:rPr>
            <w:rStyle w:val="767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84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84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15.08.2025 по 30.09.2025.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  <w:r>
        <w:rPr>
          <w:lang w:bidi="ru-RU"/>
        </w:rPr>
      </w:r>
      <w:r>
        <w:rPr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</w:t>
        <w:br/>
        <w:t xml:space="preserve">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</w:t>
        <w:br/>
        <w:t xml:space="preserve">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</w:t>
        <w:br/>
        <w:t xml:space="preserve">с пунктами 13, 14, 20 или 25 ст. 39.12 Земельного кодекса Российской Федерации, засчиты</w:t>
      </w:r>
      <w:r>
        <w:rPr>
          <w:bCs/>
          <w:shd w:val="clear" w:color="auto" w:fill="auto"/>
          <w:lang w:bidi="ru-RU"/>
        </w:rPr>
        <w:t xml:space="preserve">ва</w:t>
      </w:r>
      <w:r>
        <w:rPr>
          <w:bCs/>
          <w:shd w:val="clear" w:color="auto" w:fill="auto"/>
          <w:lang w:bidi="ru-RU"/>
        </w:rPr>
        <w:t xml:space="preserve">ются </w:t>
        <w:br/>
        <w:t xml:space="preserve">в оплату приобретаемого земельного участка. Задатки, внесенные этими лицами, не заключившими </w:t>
        <w:br/>
        <w:t xml:space="preserve">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4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7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</w:t>
        <w:br/>
        <w:t xml:space="preserve">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ной заявки, организатор аукциона до момента окончания срока подачи заявок </w:t>
        <w:br/>
        <w:t xml:space="preserve">на участие в аукционе может принять решение о продлении срока подачи заявок в соответствии </w:t>
        <w:br/>
        <w:t xml:space="preserve">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84"/>
        <w:jc w:val="center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</w:t>
        <w:br/>
        <w:t xml:space="preserve">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</w:t>
        <w:br/>
        <w:t xml:space="preserve">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15.08.2025 по 30.09.2025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14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</w:t>
        <w:br/>
        <w:t xml:space="preserve">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4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</w:t>
        <w:br/>
        <w:t xml:space="preserve">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84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</w:t>
      </w:r>
      <w:r>
        <w:rPr>
          <w:bCs/>
          <w:shd w:val="clear" w:color="auto" w:fill="auto"/>
        </w:rPr>
        <w:t xml:space="preserve">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</w:t>
      </w:r>
      <w:r>
        <w:rPr>
          <w:bCs/>
          <w:shd w:val="clear" w:color="auto" w:fill="auto"/>
        </w:rPr>
        <w:t xml:space="preserve">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</w:t>
      </w:r>
      <w:r>
        <w:rPr>
          <w:bCs/>
          <w:shd w:val="clear" w:color="auto" w:fill="auto"/>
        </w:rPr>
        <w:t xml:space="preserve">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</w:t>
      </w:r>
      <w:r>
        <w:rPr>
          <w:bCs/>
          <w:shd w:val="clear" w:color="auto" w:fill="auto"/>
        </w:rPr>
        <w:t xml:space="preserve">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 договора является частью извещения и представлен в Приложении 2 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</w:t>
      </w:r>
      <w:r>
        <w:rPr>
          <w:bCs/>
          <w:shd w:val="clear" w:color="auto" w:fill="auto"/>
        </w:rPr>
        <w:t xml:space="preserve">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0"/>
          <w:bCs/>
          <w:shd w:val="clear" w:color="auto" w:fill="auto"/>
        </w:rPr>
        <w:t xml:space="preserve">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купли-продажи, являющегося предметом а</w:t>
      </w:r>
      <w:r>
        <w:rPr>
          <w:rFonts w:eastAsia="Courier New"/>
          <w:shd w:val="clear" w:color="auto" w:fill="auto"/>
          <w:lang w:bidi="ru-RU"/>
        </w:rPr>
        <w:t xml:space="preserve">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TimesNewRomanPSMT">
    <w:panose1 w:val="020206030504050203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15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85">
    <w:name w:val="Heading 1"/>
    <w:basedOn w:val="684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86">
    <w:name w:val="Heading 2"/>
    <w:basedOn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0">
    <w:name w:val="Heading 6"/>
    <w:basedOn w:val="684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1">
    <w:name w:val="Heading 7"/>
    <w:basedOn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1 Char"/>
    <w:basedOn w:val="711"/>
    <w:uiPriority w:val="9"/>
    <w:qFormat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11"/>
    <w:uiPriority w:val="9"/>
    <w:qFormat/>
    <w:rPr>
      <w:rFonts w:ascii="Arial" w:hAnsi="Arial" w:eastAsia="Arial" w:cs="Arial"/>
      <w:sz w:val="34"/>
    </w:rPr>
  </w:style>
  <w:style w:type="character" w:styleId="696">
    <w:name w:val="Heading 3 Char"/>
    <w:basedOn w:val="711"/>
    <w:uiPriority w:val="9"/>
    <w:qFormat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1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11"/>
    <w:uiPriority w:val="10"/>
    <w:qFormat/>
    <w:rPr>
      <w:sz w:val="48"/>
      <w:szCs w:val="48"/>
    </w:rPr>
  </w:style>
  <w:style w:type="character" w:styleId="704">
    <w:name w:val="Subtitle Char"/>
    <w:basedOn w:val="711"/>
    <w:uiPriority w:val="11"/>
    <w:qFormat/>
    <w:rPr>
      <w:sz w:val="24"/>
      <w:szCs w:val="24"/>
    </w:rPr>
  </w:style>
  <w:style w:type="character" w:styleId="705">
    <w:name w:val="Quote Char"/>
    <w:uiPriority w:val="29"/>
    <w:qFormat/>
    <w:rPr>
      <w:i/>
    </w:rPr>
  </w:style>
  <w:style w:type="character" w:styleId="706">
    <w:name w:val="Intense Quote Char"/>
    <w:uiPriority w:val="30"/>
    <w:qFormat/>
    <w:rPr>
      <w:i/>
    </w:rPr>
  </w:style>
  <w:style w:type="character" w:styleId="707">
    <w:name w:val="Header Char"/>
    <w:basedOn w:val="711"/>
    <w:uiPriority w:val="99"/>
    <w:qFormat/>
  </w:style>
  <w:style w:type="character" w:styleId="708">
    <w:name w:val="Caption Char"/>
    <w:uiPriority w:val="99"/>
    <w:qFormat/>
  </w:style>
  <w:style w:type="character" w:styleId="709">
    <w:name w:val="Footnote Text Char"/>
    <w:uiPriority w:val="99"/>
    <w:qFormat/>
    <w:rPr>
      <w:sz w:val="18"/>
    </w:rPr>
  </w:style>
  <w:style w:type="character" w:styleId="710">
    <w:name w:val="Endnote Text Char"/>
    <w:uiPriority w:val="99"/>
    <w:qFormat/>
    <w:rPr>
      <w:sz w:val="20"/>
    </w:rPr>
  </w:style>
  <w:style w:type="character" w:styleId="711" w:default="1">
    <w:name w:val="Default Paragraph Font"/>
    <w:uiPriority w:val="1"/>
    <w:semiHidden/>
    <w:unhideWhenUsed/>
    <w:qFormat/>
  </w:style>
  <w:style w:type="character" w:styleId="71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Заголовок Знак1"/>
    <w:uiPriority w:val="10"/>
    <w:qFormat/>
    <w:rPr>
      <w:sz w:val="48"/>
      <w:szCs w:val="48"/>
    </w:rPr>
  </w:style>
  <w:style w:type="character" w:styleId="722" w:customStyle="1">
    <w:name w:val="Подзаголовок Знак"/>
    <w:uiPriority w:val="11"/>
    <w:qFormat/>
    <w:rPr>
      <w:sz w:val="24"/>
      <w:szCs w:val="24"/>
    </w:rPr>
  </w:style>
  <w:style w:type="character" w:styleId="723" w:customStyle="1">
    <w:name w:val="Цитата 2 Знак"/>
    <w:uiPriority w:val="29"/>
    <w:qFormat/>
    <w:rPr>
      <w:i/>
    </w:rPr>
  </w:style>
  <w:style w:type="character" w:styleId="724" w:customStyle="1">
    <w:name w:val="Выделенная цитата Знак"/>
    <w:uiPriority w:val="30"/>
    <w:qFormat/>
    <w:rPr>
      <w:i/>
    </w:rPr>
  </w:style>
  <w:style w:type="character" w:styleId="725" w:customStyle="1">
    <w:name w:val="Верхний колонтитул Знак1"/>
    <w:uiPriority w:val="99"/>
    <w:qFormat/>
  </w:style>
  <w:style w:type="character" w:styleId="726" w:customStyle="1">
    <w:name w:val="Footer Char"/>
    <w:uiPriority w:val="99"/>
    <w:qFormat/>
  </w:style>
  <w:style w:type="character" w:styleId="727" w:customStyle="1">
    <w:name w:val="Нижний колонтитул Знак1"/>
    <w:uiPriority w:val="99"/>
    <w:qFormat/>
  </w:style>
  <w:style w:type="character" w:styleId="728" w:customStyle="1">
    <w:name w:val="Текст сноски Знак"/>
    <w:uiPriority w:val="99"/>
    <w:qFormat/>
    <w:rPr>
      <w:sz w:val="18"/>
    </w:rPr>
  </w:style>
  <w:style w:type="character" w:styleId="729">
    <w:name w:val="Символ сноски"/>
    <w:uiPriority w:val="99"/>
    <w:unhideWhenUsed/>
    <w:qFormat/>
    <w:rPr>
      <w:vertAlign w:val="superscript"/>
    </w:rPr>
  </w:style>
  <w:style w:type="character" w:styleId="730">
    <w:name w:val="footnote reference"/>
    <w:rPr>
      <w:vertAlign w:val="superscript"/>
    </w:rPr>
  </w:style>
  <w:style w:type="character" w:styleId="731" w:customStyle="1">
    <w:name w:val="Текст концевой сноски Знак"/>
    <w:uiPriority w:val="99"/>
    <w:qFormat/>
    <w:rPr>
      <w:sz w:val="20"/>
    </w:rPr>
  </w:style>
  <w:style w:type="character" w:styleId="73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3">
    <w:name w:val="endnote reference"/>
    <w:rPr>
      <w:vertAlign w:val="superscript"/>
    </w:rPr>
  </w:style>
  <w:style w:type="character" w:styleId="734" w:customStyle="1">
    <w:name w:val="WW8Num2z0"/>
    <w:qFormat/>
    <w:rPr>
      <w:rFonts w:ascii="Symbol" w:hAnsi="Symbol" w:cs="Symbol"/>
    </w:rPr>
  </w:style>
  <w:style w:type="character" w:styleId="735" w:customStyle="1">
    <w:name w:val="WW8Num3z0"/>
    <w:qFormat/>
  </w:style>
  <w:style w:type="character" w:styleId="736" w:customStyle="1">
    <w:name w:val="WW8Num4z0"/>
    <w:qFormat/>
  </w:style>
  <w:style w:type="character" w:styleId="737" w:customStyle="1">
    <w:name w:val="WW8Num5z0"/>
    <w:qFormat/>
    <w:rPr>
      <w:sz w:val="16"/>
      <w:szCs w:val="16"/>
    </w:rPr>
  </w:style>
  <w:style w:type="character" w:styleId="738" w:customStyle="1">
    <w:name w:val="WW8Num6z0"/>
    <w:qFormat/>
  </w:style>
  <w:style w:type="character" w:styleId="739" w:customStyle="1">
    <w:name w:val="WW8Num7z0"/>
    <w:qFormat/>
  </w:style>
  <w:style w:type="character" w:styleId="740" w:customStyle="1">
    <w:name w:val="WW8Num8z0"/>
    <w:qFormat/>
  </w:style>
  <w:style w:type="character" w:styleId="741" w:customStyle="1">
    <w:name w:val="WW8Num9z0"/>
    <w:qFormat/>
  </w:style>
  <w:style w:type="character" w:styleId="742" w:customStyle="1">
    <w:name w:val="WW8Num10z0"/>
    <w:qFormat/>
  </w:style>
  <w:style w:type="character" w:styleId="743" w:customStyle="1">
    <w:name w:val="WW8Num11z0"/>
    <w:qFormat/>
  </w:style>
  <w:style w:type="character" w:styleId="744" w:customStyle="1">
    <w:name w:val="WW8Num12z0"/>
    <w:qFormat/>
  </w:style>
  <w:style w:type="character" w:styleId="745" w:customStyle="1">
    <w:name w:val="WW8Num13z0"/>
    <w:qFormat/>
  </w:style>
  <w:style w:type="character" w:styleId="746" w:customStyle="1">
    <w:name w:val="WW8Num14z0"/>
    <w:qFormat/>
  </w:style>
  <w:style w:type="character" w:styleId="747" w:customStyle="1">
    <w:name w:val="WW8Num15z0"/>
    <w:qFormat/>
  </w:style>
  <w:style w:type="character" w:styleId="748" w:customStyle="1">
    <w:name w:val="WW8Num18z0"/>
    <w:qFormat/>
  </w:style>
  <w:style w:type="character" w:styleId="749" w:customStyle="1">
    <w:name w:val="WW8Num19z0"/>
    <w:qFormat/>
  </w:style>
  <w:style w:type="character" w:styleId="750" w:customStyle="1">
    <w:name w:val="WW8Num20z0"/>
    <w:qFormat/>
  </w:style>
  <w:style w:type="character" w:styleId="751" w:customStyle="1">
    <w:name w:val="WW8Num21z0"/>
    <w:qFormat/>
  </w:style>
  <w:style w:type="character" w:styleId="752" w:customStyle="1">
    <w:name w:val="WW8Num22z0"/>
    <w:qFormat/>
  </w:style>
  <w:style w:type="character" w:styleId="753" w:customStyle="1">
    <w:name w:val="WW8Num23z0"/>
    <w:qFormat/>
  </w:style>
  <w:style w:type="character" w:styleId="754" w:customStyle="1">
    <w:name w:val="WW8Num25z0"/>
    <w:qFormat/>
  </w:style>
  <w:style w:type="character" w:styleId="755" w:customStyle="1">
    <w:name w:val="WW8Num26z0"/>
    <w:qFormat/>
  </w:style>
  <w:style w:type="character" w:styleId="756" w:customStyle="1">
    <w:name w:val="WW8Num27z0"/>
    <w:qFormat/>
  </w:style>
  <w:style w:type="character" w:styleId="757" w:customStyle="1">
    <w:name w:val="WW8Num29z0"/>
    <w:qFormat/>
    <w:rPr>
      <w:rFonts w:ascii="Symbol" w:hAnsi="Symbol" w:cs="Symbol"/>
    </w:rPr>
  </w:style>
  <w:style w:type="character" w:styleId="758" w:customStyle="1">
    <w:name w:val="WW8Num30z0"/>
    <w:qFormat/>
  </w:style>
  <w:style w:type="character" w:styleId="759" w:customStyle="1">
    <w:name w:val="WW8Num31z0"/>
    <w:qFormat/>
  </w:style>
  <w:style w:type="character" w:styleId="760" w:customStyle="1">
    <w:name w:val="WW8Num32z0"/>
    <w:qFormat/>
  </w:style>
  <w:style w:type="character" w:styleId="761" w:customStyle="1">
    <w:name w:val="WW8Num33z0"/>
    <w:qFormat/>
  </w:style>
  <w:style w:type="character" w:styleId="762" w:customStyle="1">
    <w:name w:val="WW8Num34z0"/>
    <w:qFormat/>
  </w:style>
  <w:style w:type="character" w:styleId="763">
    <w:name w:val="page number"/>
    <w:basedOn w:val="711"/>
    <w:qFormat/>
  </w:style>
  <w:style w:type="character" w:styleId="764" w:customStyle="1">
    <w:name w:val="Текст Знак"/>
    <w:qFormat/>
    <w:rPr>
      <w:rFonts w:ascii="Courier New" w:hAnsi="Courier New" w:cs="Courier New"/>
    </w:rPr>
  </w:style>
  <w:style w:type="character" w:styleId="765" w:customStyle="1">
    <w:name w:val="Верхний колонтитул Знак"/>
    <w:qFormat/>
    <w:rPr>
      <w:sz w:val="16"/>
      <w:lang w:val="ru-RU" w:bidi="ar-SA"/>
    </w:rPr>
  </w:style>
  <w:style w:type="character" w:styleId="766" w:customStyle="1">
    <w:name w:val="Основной текст с отступом 3 Знак"/>
    <w:qFormat/>
    <w:rPr>
      <w:sz w:val="16"/>
      <w:szCs w:val="16"/>
    </w:rPr>
  </w:style>
  <w:style w:type="character" w:styleId="767">
    <w:name w:val="Hyperlink"/>
    <w:rPr>
      <w:color w:val="0563c1"/>
      <w:u w:val="single"/>
    </w:rPr>
  </w:style>
  <w:style w:type="character" w:styleId="768" w:customStyle="1">
    <w:name w:val="Абзац списка Знак"/>
    <w:qFormat/>
    <w:rPr>
      <w:sz w:val="24"/>
      <w:szCs w:val="24"/>
    </w:rPr>
  </w:style>
  <w:style w:type="character" w:styleId="769" w:customStyle="1">
    <w:name w:val="Заголовок 6 Знак"/>
    <w:qFormat/>
    <w:rPr>
      <w:b/>
      <w:bCs/>
      <w:sz w:val="22"/>
      <w:szCs w:val="22"/>
    </w:rPr>
  </w:style>
  <w:style w:type="character" w:styleId="770" w:customStyle="1">
    <w:name w:val="Название Знак"/>
    <w:qFormat/>
    <w:rPr>
      <w:sz w:val="28"/>
      <w:lang w:val="ru-RU" w:bidi="ar-SA"/>
    </w:rPr>
  </w:style>
  <w:style w:type="character" w:styleId="771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2" w:customStyle="1">
    <w:name w:val="Нижний колонтитул Знак"/>
    <w:qFormat/>
  </w:style>
  <w:style w:type="character" w:styleId="773">
    <w:name w:val="FollowedHyperlink"/>
    <w:rPr>
      <w:color w:val="954f72"/>
      <w:u w:val="single"/>
    </w:rPr>
  </w:style>
  <w:style w:type="character" w:styleId="774" w:customStyle="1">
    <w:name w:val="Гиперссылка"/>
    <w:qFormat/>
    <w:rPr>
      <w:color w:val="0000ff"/>
      <w:u w:val="single"/>
    </w:rPr>
  </w:style>
  <w:style w:type="character" w:styleId="775">
    <w:name w:val="Символ нумерации"/>
    <w:qFormat/>
  </w:style>
  <w:style w:type="paragraph" w:styleId="776">
    <w:name w:val="Заголовок"/>
    <w:basedOn w:val="684"/>
    <w:next w:val="77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77">
    <w:name w:val="Body Text"/>
    <w:basedOn w:val="684"/>
    <w:pPr>
      <w:jc w:val="right"/>
    </w:pPr>
    <w:rPr>
      <w:sz w:val="28"/>
    </w:rPr>
  </w:style>
  <w:style w:type="paragraph" w:styleId="778">
    <w:name w:val="List"/>
    <w:basedOn w:val="777"/>
    <w:rPr>
      <w:rFonts w:cs="Lohit Devanagari"/>
    </w:rPr>
  </w:style>
  <w:style w:type="paragraph" w:styleId="779">
    <w:name w:val="Caption"/>
    <w:basedOn w:val="684"/>
    <w:qFormat/>
    <w:pPr>
      <w:spacing w:before="120" w:after="120"/>
      <w:suppressLineNumbers/>
    </w:pPr>
    <w:rPr>
      <w:rFonts w:cs="Lohit Devanagari"/>
      <w:i/>
      <w:iCs/>
    </w:rPr>
  </w:style>
  <w:style w:type="paragraph" w:styleId="780">
    <w:name w:val="Указатель"/>
    <w:basedOn w:val="684"/>
    <w:qFormat/>
    <w:pPr>
      <w:suppressLineNumbers/>
    </w:pPr>
    <w:rPr>
      <w:rFonts w:cs="Lohit Devanagari"/>
    </w:rPr>
  </w:style>
  <w:style w:type="paragraph" w:styleId="781">
    <w:name w:val="List Paragraph"/>
    <w:basedOn w:val="684"/>
    <w:qFormat/>
    <w:pPr>
      <w:ind w:left="708"/>
    </w:pPr>
  </w:style>
  <w:style w:type="paragraph" w:styleId="78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3">
    <w:name w:val="Title"/>
    <w:basedOn w:val="684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84">
    <w:name w:val="Subtitle"/>
    <w:basedOn w:val="684"/>
    <w:uiPriority w:val="11"/>
    <w:qFormat/>
    <w:pPr>
      <w:spacing w:before="200" w:after="200"/>
    </w:pPr>
  </w:style>
  <w:style w:type="paragraph" w:styleId="785">
    <w:name w:val="Quote"/>
    <w:basedOn w:val="684"/>
    <w:uiPriority w:val="29"/>
    <w:qFormat/>
    <w:pPr>
      <w:ind w:left="720" w:right="720"/>
    </w:pPr>
    <w:rPr>
      <w:i/>
    </w:rPr>
  </w:style>
  <w:style w:type="paragraph" w:styleId="786">
    <w:name w:val="Intense Quote"/>
    <w:basedOn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7">
    <w:name w:val="footnote text"/>
    <w:basedOn w:val="684"/>
    <w:uiPriority w:val="99"/>
    <w:semiHidden/>
    <w:unhideWhenUsed/>
    <w:pPr>
      <w:spacing w:before="0" w:after="40"/>
    </w:pPr>
    <w:rPr>
      <w:sz w:val="18"/>
    </w:rPr>
  </w:style>
  <w:style w:type="paragraph" w:styleId="788">
    <w:name w:val="endnote text"/>
    <w:basedOn w:val="684"/>
    <w:uiPriority w:val="99"/>
    <w:semiHidden/>
    <w:unhideWhenUsed/>
    <w:rPr>
      <w:sz w:val="20"/>
    </w:rPr>
  </w:style>
  <w:style w:type="paragraph" w:styleId="789">
    <w:name w:val="toc 1"/>
    <w:basedOn w:val="684"/>
    <w:uiPriority w:val="39"/>
    <w:unhideWhenUsed/>
    <w:pPr>
      <w:spacing w:before="0" w:after="57"/>
    </w:pPr>
  </w:style>
  <w:style w:type="paragraph" w:styleId="790">
    <w:name w:val="toc 2"/>
    <w:basedOn w:val="684"/>
    <w:uiPriority w:val="39"/>
    <w:unhideWhenUsed/>
    <w:pPr>
      <w:ind w:left="283"/>
      <w:spacing w:before="0" w:after="57"/>
    </w:pPr>
  </w:style>
  <w:style w:type="paragraph" w:styleId="791">
    <w:name w:val="toc 3"/>
    <w:basedOn w:val="684"/>
    <w:uiPriority w:val="39"/>
    <w:unhideWhenUsed/>
    <w:pPr>
      <w:ind w:left="567"/>
      <w:spacing w:before="0" w:after="57"/>
    </w:pPr>
  </w:style>
  <w:style w:type="paragraph" w:styleId="792">
    <w:name w:val="toc 4"/>
    <w:basedOn w:val="684"/>
    <w:uiPriority w:val="39"/>
    <w:unhideWhenUsed/>
    <w:pPr>
      <w:ind w:left="850"/>
      <w:spacing w:before="0" w:after="57"/>
    </w:pPr>
  </w:style>
  <w:style w:type="paragraph" w:styleId="793">
    <w:name w:val="toc 5"/>
    <w:basedOn w:val="684"/>
    <w:uiPriority w:val="39"/>
    <w:unhideWhenUsed/>
    <w:pPr>
      <w:ind w:left="1134"/>
      <w:spacing w:before="0" w:after="57"/>
    </w:pPr>
  </w:style>
  <w:style w:type="paragraph" w:styleId="794">
    <w:name w:val="toc 6"/>
    <w:basedOn w:val="684"/>
    <w:uiPriority w:val="39"/>
    <w:unhideWhenUsed/>
    <w:pPr>
      <w:ind w:left="1417"/>
      <w:spacing w:before="0" w:after="57"/>
    </w:pPr>
  </w:style>
  <w:style w:type="paragraph" w:styleId="795">
    <w:name w:val="toc 7"/>
    <w:basedOn w:val="684"/>
    <w:uiPriority w:val="39"/>
    <w:unhideWhenUsed/>
    <w:pPr>
      <w:ind w:left="1701"/>
      <w:spacing w:before="0" w:after="57"/>
    </w:pPr>
  </w:style>
  <w:style w:type="paragraph" w:styleId="796">
    <w:name w:val="toc 8"/>
    <w:basedOn w:val="684"/>
    <w:uiPriority w:val="39"/>
    <w:unhideWhenUsed/>
    <w:pPr>
      <w:ind w:left="1984"/>
      <w:spacing w:before="0" w:after="57"/>
    </w:pPr>
  </w:style>
  <w:style w:type="paragraph" w:styleId="797">
    <w:name w:val="toc 9"/>
    <w:basedOn w:val="684"/>
    <w:uiPriority w:val="39"/>
    <w:unhideWhenUsed/>
    <w:pPr>
      <w:ind w:left="2268"/>
      <w:spacing w:before="0" w:after="57"/>
    </w:pPr>
  </w:style>
  <w:style w:type="paragraph" w:styleId="798">
    <w:name w:val="Index Heading"/>
    <w:basedOn w:val="776"/>
  </w:style>
  <w:style w:type="paragraph" w:styleId="79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0">
    <w:name w:val="table of figures"/>
    <w:basedOn w:val="684"/>
    <w:uiPriority w:val="99"/>
    <w:unhideWhenUsed/>
  </w:style>
  <w:style w:type="paragraph" w:styleId="801">
    <w:name w:val="index heading1"/>
    <w:basedOn w:val="684"/>
    <w:qFormat/>
    <w:pPr>
      <w:suppressLineNumbers/>
    </w:pPr>
    <w:rPr>
      <w:rFonts w:cs="Lohit Devanagari"/>
    </w:rPr>
  </w:style>
  <w:style w:type="paragraph" w:styleId="802" w:customStyle="1">
    <w:name w:val="Caption1"/>
    <w:basedOn w:val="684"/>
    <w:qFormat/>
    <w:pPr>
      <w:spacing w:before="120" w:after="120"/>
      <w:suppressLineNumbers/>
    </w:pPr>
    <w:rPr>
      <w:rFonts w:cs="Lohit Devanagari"/>
      <w:i/>
      <w:iCs/>
    </w:rPr>
  </w:style>
  <w:style w:type="paragraph" w:styleId="803">
    <w:name w:val="Plain Text"/>
    <w:basedOn w:val="684"/>
    <w:qFormat/>
    <w:rPr>
      <w:rFonts w:ascii="Courier New" w:hAnsi="Courier New" w:cs="Courier New"/>
      <w:sz w:val="20"/>
      <w:szCs w:val="20"/>
      <w:lang w:val="en-US"/>
    </w:rPr>
  </w:style>
  <w:style w:type="paragraph" w:styleId="804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05">
    <w:name w:val="Body Text 2"/>
    <w:basedOn w:val="684"/>
    <w:qFormat/>
    <w:pPr>
      <w:spacing w:before="0" w:after="120" w:line="480" w:lineRule="auto"/>
    </w:pPr>
  </w:style>
  <w:style w:type="paragraph" w:styleId="806">
    <w:name w:val="Body Text 3"/>
    <w:basedOn w:val="684"/>
    <w:qFormat/>
    <w:pPr>
      <w:spacing w:before="0" w:after="120"/>
    </w:pPr>
    <w:rPr>
      <w:sz w:val="16"/>
      <w:szCs w:val="16"/>
    </w:rPr>
  </w:style>
  <w:style w:type="paragraph" w:styleId="807" w:customStyle="1">
    <w:name w:val="Колонтитул"/>
    <w:basedOn w:val="68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08">
    <w:name w:val="Footer"/>
    <w:basedOn w:val="684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09">
    <w:name w:val="Balloon Text"/>
    <w:basedOn w:val="684"/>
    <w:qFormat/>
    <w:rPr>
      <w:rFonts w:ascii="Tahoma" w:hAnsi="Tahoma" w:cs="Tahoma"/>
      <w:sz w:val="16"/>
      <w:szCs w:val="16"/>
    </w:rPr>
  </w:style>
  <w:style w:type="paragraph" w:styleId="810" w:customStyle="1">
    <w:name w:val="Знак Знак Знак Знак Знак Знак Знак Знак Знак Знак Знак Знак"/>
    <w:basedOn w:val="684"/>
    <w:qFormat/>
    <w:rPr>
      <w:rFonts w:ascii="Verdana" w:hAnsi="Verdana" w:cs="Verdana"/>
      <w:sz w:val="20"/>
      <w:szCs w:val="20"/>
      <w:lang w:val="en-US"/>
    </w:rPr>
  </w:style>
  <w:style w:type="paragraph" w:styleId="81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12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13">
    <w:name w:val="Body Text Indent 3"/>
    <w:basedOn w:val="684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14">
    <w:name w:val="Normal (Web)"/>
    <w:basedOn w:val="684"/>
    <w:qFormat/>
    <w:pPr>
      <w:spacing w:before="280" w:after="280"/>
    </w:pPr>
  </w:style>
  <w:style w:type="paragraph" w:styleId="815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16" w:customStyle="1">
    <w:name w:val="Содержимое таблицы"/>
    <w:basedOn w:val="684"/>
    <w:qFormat/>
    <w:pPr>
      <w:widowControl w:val="off"/>
      <w:suppressLineNumbers/>
    </w:pPr>
  </w:style>
  <w:style w:type="paragraph" w:styleId="817" w:customStyle="1">
    <w:name w:val="Заголовок таблицы"/>
    <w:basedOn w:val="816"/>
    <w:qFormat/>
    <w:pPr>
      <w:jc w:val="center"/>
    </w:pPr>
    <w:rPr>
      <w:b/>
      <w:bCs/>
    </w:rPr>
  </w:style>
  <w:style w:type="numbering" w:styleId="818" w:default="1">
    <w:name w:val="No List"/>
    <w:uiPriority w:val="99"/>
    <w:semiHidden/>
    <w:unhideWhenUsed/>
    <w:qFormat/>
  </w:style>
  <w:style w:type="table" w:styleId="81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4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5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5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5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5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5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6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6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8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8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2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2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2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2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2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2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3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3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3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4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4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4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4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280</cp:revision>
  <dcterms:created xsi:type="dcterms:W3CDTF">2023-10-30T09:15:00Z</dcterms:created>
  <dcterms:modified xsi:type="dcterms:W3CDTF">2025-08-14T12:41:42Z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