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18.08.2025 № 059-19-01-11-116</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12.09.2025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w:t>
        <w:br/>
        <w:t xml:space="preserve">(далее – аукцион) проводятся в соответствии со статьями 39.11, 39.12, 39.13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18.08.2025 № 059-19-01-11-116.</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w:t>
        <w:br/>
        <w:t xml:space="preserve">(далее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 xml:space="preserve">департамент земельных отношений администрации города Перми, местонахождение: 614015, </w:t>
        <w:br/>
        <w:t>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10530"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6"/>
        <w:gridCol w:w="3103"/>
        <w:gridCol w:w="6861"/>
      </w:tblGrid>
      <w:tr>
        <w:trPr>
          <w:trHeight w:val="87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03 сентября  2024 г. № 21-01-03-8046 «О проведении аукциона на право заключения договора аренды земельного участка в Дзержинском районе города Перми»</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Транспортная, з/у 10б</w:t>
            </w:r>
          </w:p>
        </w:tc>
      </w:tr>
      <w:tr>
        <w:trPr>
          <w:trHeight w:val="148"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927 кв. м</w:t>
            </w:r>
          </w:p>
        </w:tc>
      </w:tr>
      <w:tr>
        <w:trPr>
          <w:trHeight w:val="155"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14:ligatures w14:val="none"/>
              </w:rPr>
            </w:pPr>
            <w:r>
              <w:rPr>
                <w:sz w:val="24"/>
                <w:szCs w:val="24"/>
              </w:rPr>
              <w:t>59:01:1717205:343</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6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rFonts w:eastAsia="TimesNewRomanPSMT"/>
                <w:sz w:val="24"/>
                <w:szCs w:val="24"/>
              </w:rPr>
              <w:t>автомобильные мойки</w:t>
            </w:r>
          </w:p>
        </w:tc>
      </w:tr>
      <w:tr>
        <w:trPr>
          <w:trHeight w:val="576"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6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1" w:type="dxa"/>
            <w:tcBorders>
              <w:top w:val="single" w:sz="4" w:space="0" w:color="000000"/>
              <w:left w:val="single" w:sz="4" w:space="0" w:color="000000"/>
              <w:bottom w:val="single" w:sz="4" w:space="0" w:color="000000"/>
              <w:right w:val="single" w:sz="4" w:space="0" w:color="000000"/>
            </w:tcBorders>
          </w:tcPr>
          <w:p>
            <w:pPr>
              <w:pStyle w:val="Normal"/>
              <w:ind w:firstLine="311"/>
              <w:jc w:val="both"/>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17.07.2025г. No КУВИ-001/2025-141319857 </w:t>
            </w:r>
            <w:r>
              <w:rPr>
                <w:color w:val="auto"/>
                <w:sz w:val="24"/>
                <w:szCs w:val="24"/>
              </w:rPr>
              <w:t>(далее – ЕГРН)</w:t>
            </w:r>
            <w:r>
              <w:rPr>
                <w:sz w:val="24"/>
                <w:szCs w:val="24"/>
              </w:rPr>
              <w:t>;</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 xml:space="preserve">от 03.07.2024 № РФ-59-2-03-0-00-2024-1368-0 </w:t>
            </w:r>
            <w:r>
              <w:rPr>
                <w:color w:val="auto"/>
                <w:sz w:val="24"/>
                <w:szCs w:val="24"/>
              </w:rPr>
              <w:t xml:space="preserve"> (далее – ГПЗУ)</w:t>
            </w:r>
            <w:r>
              <w:rPr>
                <w:sz w:val="24"/>
                <w:szCs w:val="24"/>
              </w:rPr>
              <w:t>.</w:t>
            </w:r>
          </w:p>
          <w:p>
            <w:pPr>
              <w:pStyle w:val="BodyText"/>
              <w:ind w:firstLine="312"/>
              <w:jc w:val="both"/>
              <w:rPr>
                <w:color w:val="000000"/>
                <w:sz w:val="24"/>
              </w:rPr>
            </w:pPr>
            <w:r>
              <w:rPr>
                <w:color w:val="000000"/>
                <w:sz w:val="24"/>
              </w:rPr>
            </w:r>
          </w:p>
          <w:p>
            <w:pPr>
              <w:pStyle w:val="Normal"/>
              <w:spacing w:lineRule="auto" w:line="240" w:before="0" w:after="0"/>
              <w:ind w:firstLine="452"/>
              <w:jc w:val="both"/>
              <w:rPr>
                <w:rFonts w:ascii="Times New Roman" w:hAnsi="Times New Roman"/>
                <w:sz w:val="24"/>
                <w:szCs w:val="24"/>
              </w:rPr>
            </w:pPr>
            <w:r>
              <w:rPr>
                <w:sz w:val="24"/>
                <w:szCs w:val="24"/>
              </w:rPr>
              <w:t>Участок не огорожен, самовольно установленных и незаконно размещенных движимых объектов, самовольных капитальных построек не зафиксировано, на Участке находится автомобильный транспорт.</w:t>
            </w:r>
          </w:p>
          <w:p>
            <w:pPr>
              <w:pStyle w:val="Normal"/>
              <w:spacing w:lineRule="auto" w:line="240" w:before="0" w:after="0"/>
              <w:ind w:firstLine="452"/>
              <w:jc w:val="both"/>
              <w:rPr>
                <w:rFonts w:ascii="Times New Roman" w:hAnsi="Times New Roman"/>
                <w:sz w:val="24"/>
                <w:szCs w:val="24"/>
              </w:rPr>
            </w:pPr>
            <w:r>
              <w:rPr>
                <w:sz w:val="24"/>
                <w:szCs w:val="24"/>
              </w:rPr>
              <w:t>В радиусе 200 м от границы Участка пожарные гидранты отсутствуют.</w:t>
            </w:r>
          </w:p>
          <w:p>
            <w:pPr>
              <w:pStyle w:val="Normal"/>
              <w:spacing w:lineRule="auto" w:line="240" w:before="0" w:after="0"/>
              <w:ind w:firstLine="452"/>
              <w:jc w:val="both"/>
              <w:rPr>
                <w:rFonts w:ascii="Times New Roman" w:hAnsi="Times New Roman"/>
                <w:sz w:val="24"/>
                <w:szCs w:val="24"/>
              </w:rPr>
            </w:pPr>
            <w:r>
              <w:rPr>
                <w:sz w:val="24"/>
                <w:szCs w:val="24"/>
              </w:rPr>
              <w:t>(Аналогичная информация отражена в письме  администрации Дзержинского района города Перми от 02.07.2024 № 059-07-01-44/3-135, в акте осмотра от 09.07.2024 № 83).</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В соответствии с копией планшета М 1:500, требующего корректуры, вдоль восточной границы Участка расположены сети водоотведения, в границах Участка размещен некапитальный объект, частично Участок занят навесом.</w:t>
            </w:r>
          </w:p>
          <w:p>
            <w:pPr>
              <w:pStyle w:val="Normal"/>
              <w:spacing w:lineRule="auto" w:line="240" w:before="0" w:after="0"/>
              <w:ind w:firstLine="452"/>
              <w:jc w:val="both"/>
              <w:rPr>
                <w:rFonts w:ascii="Times New Roman" w:hAnsi="Times New Roman"/>
                <w:sz w:val="24"/>
                <w:szCs w:val="24"/>
              </w:rPr>
            </w:pPr>
            <w:r>
              <w:rPr>
                <w:sz w:val="24"/>
                <w:szCs w:val="24"/>
              </w:rPr>
              <w:t>Согласно сведениям ЕГРН в границах Участка отсутствуют  объекты капитального строительства.</w:t>
            </w:r>
          </w:p>
          <w:p>
            <w:pPr>
              <w:pStyle w:val="Normal"/>
              <w:spacing w:lineRule="auto" w:line="240" w:before="0" w:after="0"/>
              <w:ind w:firstLine="452"/>
              <w:jc w:val="both"/>
              <w:rPr>
                <w:rFonts w:ascii="Times New Roman" w:hAnsi="Times New Roman"/>
                <w:sz w:val="24"/>
                <w:szCs w:val="24"/>
              </w:rPr>
            </w:pPr>
            <w:r>
              <w:rPr>
                <w:sz w:val="24"/>
                <w:szCs w:val="24"/>
              </w:rPr>
              <w:t>Согласно топографической съемке, представленной Петренко Н.В., в границах Участка расположена сеть связи, сети водоотведения пересекают границы Участка. Сведения о расположении капитальных и некапитальных объектов в границах Участка отсутствуют. Часть Участка имеет покрытие щебнем.</w:t>
            </w:r>
          </w:p>
          <w:p>
            <w:pPr>
              <w:pStyle w:val="Normal"/>
              <w:spacing w:lineRule="auto" w:line="240" w:before="0" w:after="0"/>
              <w:ind w:firstLine="452"/>
              <w:jc w:val="both"/>
              <w:rPr>
                <w:rFonts w:ascii="Times New Roman" w:hAnsi="Times New Roman"/>
                <w:sz w:val="24"/>
                <w:szCs w:val="24"/>
              </w:rPr>
            </w:pPr>
            <w:r>
              <w:rPr>
                <w:sz w:val="24"/>
                <w:szCs w:val="24"/>
              </w:rPr>
              <w:t>Согласно сведениям, содержащимся в ЕГРН, ГПЗУ и справке по градостроительным условиям участка</w:t>
              <w:br/>
              <w:t>от 23.07.2025 № 638674 Участок полностью расположен в ЗОУИТ:</w:t>
            </w:r>
          </w:p>
          <w:p>
            <w:pPr>
              <w:pStyle w:val="Normal"/>
              <w:spacing w:lineRule="auto" w:line="240" w:before="0" w:after="0"/>
              <w:ind w:firstLine="452"/>
              <w:jc w:val="both"/>
              <w:rPr>
                <w:rFonts w:ascii="Times New Roman" w:hAnsi="Times New Roman"/>
                <w:sz w:val="24"/>
                <w:szCs w:val="24"/>
                <w:highlight w:val="none"/>
              </w:rPr>
            </w:pPr>
            <w:r>
              <w:rPr>
                <w:sz w:val="24"/>
                <w:szCs w:val="24"/>
              </w:rPr>
              <w:t>в границах зоны с особыми условиями использования территории Охранная зона транспорта «Зона с особыми условиями использования – Приаэродромная территория аэродрома аэропорта Большое Савино», реестровый номер 59:32-6.553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452"/>
              <w:jc w:val="both"/>
              <w:rPr>
                <w:rFonts w:ascii="Times New Roman" w:hAnsi="Times New Roman"/>
                <w:sz w:val="24"/>
                <w:szCs w:val="24"/>
                <w:highlight w:val="none"/>
              </w:rPr>
            </w:pPr>
            <w:r>
              <w:rPr>
                <w:sz w:val="24"/>
                <w:szCs w:val="24"/>
              </w:rPr>
              <w:t>в границах зоны с особыми условиями использования территории Санитарный разрыв для железнодорожных путей полосы отвода Пермской дистанции пути – структурного подразделения Свердловской дирекции инфраструктуры – структурного подразделения Центральной дирекции; инфраструктуры – филиала ОАО «РЖД» (Письмо Управления Роспотребнадзора по железнодорожному транспорту от 11.04.2016 № 93 «О согласовании размера санитарного разрыва»).</w:t>
            </w:r>
          </w:p>
          <w:p>
            <w:pPr>
              <w:pStyle w:val="Normal"/>
              <w:spacing w:lineRule="auto" w:line="240" w:before="0" w:after="0"/>
              <w:ind w:firstLine="452"/>
              <w:jc w:val="both"/>
              <w:rPr>
                <w:rFonts w:ascii="Times New Roman" w:hAnsi="Times New Roman"/>
                <w:sz w:val="24"/>
                <w:szCs w:val="24"/>
              </w:rPr>
            </w:pPr>
            <w:r>
              <w:rPr>
                <w:color w:val="000000"/>
                <w:sz w:val="24"/>
                <w:szCs w:val="24"/>
              </w:rPr>
              <w:t>Сведения о расположении Участка в границах ЗОУИТ «Зона санитарной охраны источников водоснабжения и водопроводов питьевого назначения «Зона санитарной охраны водозаборных скважин №№ 1 усл., 2 усл., 9 усл., и шахтно-питьевых колодцев № 1 и № 2 железнодорожной станции Пермь-Сортировочная Пермского территориального участка Свердловской дирекции по тепловодоснабжению (Дзержинский район г. Пермь) (3 пояс)», 59:01-6.8446 (Постановление Главного государственного санитарного врача Российской Федерации от 14 марта 2002 г. № 10 «О введении в действие санитарных правил и норм «Зоны санитарной охраны источников водоснабжения и водопроводов питьевого назначения. СанПиН 2.1.4.1110-02»» исключены из ЕГРН 03.04.2025.</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Победителю аукциона необходимо соблюдать условия строительства:</w:t>
            </w:r>
          </w:p>
          <w:p>
            <w:pPr>
              <w:pStyle w:val="Normal"/>
              <w:spacing w:lineRule="auto" w:line="240" w:before="0" w:after="0"/>
              <w:ind w:firstLine="452"/>
              <w:jc w:val="both"/>
              <w:rPr>
                <w:rFonts w:ascii="Times New Roman" w:hAnsi="Times New Roman"/>
                <w:sz w:val="24"/>
                <w:szCs w:val="24"/>
              </w:rPr>
            </w:pPr>
            <w:r>
              <w:rPr>
                <w:sz w:val="24"/>
                <w:szCs w:val="24"/>
              </w:rPr>
              <w:t>1. На Участке произрастает 2 дерева пород – береза 1 шт., ива 1 шт.</w:t>
            </w:r>
          </w:p>
          <w:p>
            <w:pPr>
              <w:pStyle w:val="Normal"/>
              <w:spacing w:lineRule="auto" w:line="240" w:before="0" w:after="0"/>
              <w:ind w:firstLine="452"/>
              <w:jc w:val="both"/>
              <w:rPr>
                <w:rFonts w:ascii="Times New Roman" w:hAnsi="Times New Roman"/>
                <w:sz w:val="24"/>
                <w:szCs w:val="24"/>
              </w:rPr>
            </w:pPr>
            <w:r>
              <w:rPr>
                <w:sz w:val="24"/>
                <w:szCs w:val="24"/>
              </w:rPr>
              <w:t>2. Проектом предусмотреть:</w:t>
            </w:r>
          </w:p>
          <w:p>
            <w:pPr>
              <w:pStyle w:val="Normal"/>
              <w:spacing w:lineRule="auto" w:line="240" w:before="0" w:after="0"/>
              <w:ind w:firstLine="452"/>
              <w:jc w:val="both"/>
              <w:rPr>
                <w:rFonts w:ascii="Times New Roman" w:hAnsi="Times New Roman"/>
                <w:sz w:val="24"/>
                <w:szCs w:val="24"/>
              </w:rPr>
            </w:pPr>
            <w:r>
              <w:rPr>
                <w:sz w:val="24"/>
                <w:szCs w:val="24"/>
              </w:rPr>
              <w:t xml:space="preserve">2.1. Нанесение существующих деревьев </w:t>
              <w:br/>
              <w:t>на стройгенплане.</w:t>
            </w:r>
          </w:p>
          <w:p>
            <w:pPr>
              <w:pStyle w:val="Normal"/>
              <w:spacing w:lineRule="auto" w:line="240" w:before="0" w:after="0"/>
              <w:ind w:firstLine="452"/>
              <w:jc w:val="both"/>
              <w:rPr>
                <w:rFonts w:ascii="Times New Roman" w:hAnsi="Times New Roman"/>
                <w:sz w:val="24"/>
                <w:szCs w:val="24"/>
              </w:rPr>
            </w:pPr>
            <w:r>
              <w:rPr>
                <w:sz w:val="24"/>
                <w:szCs w:val="24"/>
              </w:rPr>
              <w:t>2.2. Снос деревьев, попадающих под пятно застройки, вести на основании акта комиссионного обследования зеленых насаждений в соответствии с решением Пермской городской Думы от 15.12.2020 г. № 277. Указанный акт должен быть составлен на основании проектной документации. Остальные деревья сохранить.</w:t>
            </w:r>
          </w:p>
          <w:p>
            <w:pPr>
              <w:pStyle w:val="Normal"/>
              <w:spacing w:lineRule="auto" w:line="240" w:before="0" w:after="0"/>
              <w:ind w:firstLine="452"/>
              <w:jc w:val="both"/>
              <w:rPr>
                <w:rFonts w:ascii="Times New Roman" w:hAnsi="Times New Roman"/>
                <w:sz w:val="24"/>
                <w:szCs w:val="24"/>
              </w:rPr>
            </w:pPr>
            <w:r>
              <w:rPr>
                <w:sz w:val="24"/>
                <w:szCs w:val="24"/>
              </w:rPr>
              <w:t>2.3. Восстановление зеленых насаждений вести</w:t>
              <w:br/>
              <w:t>в соответствии с решением Пермской городской Думы от 15 декабря 2020 г. № 277.</w:t>
            </w:r>
          </w:p>
          <w:p>
            <w:pPr>
              <w:pStyle w:val="Normal"/>
              <w:spacing w:lineRule="auto" w:line="240" w:before="0" w:after="0"/>
              <w:ind w:firstLine="452"/>
              <w:jc w:val="both"/>
              <w:rPr>
                <w:rFonts w:ascii="Times New Roman" w:hAnsi="Times New Roman"/>
                <w:sz w:val="24"/>
                <w:szCs w:val="24"/>
              </w:rPr>
            </w:pPr>
            <w:r>
              <w:rPr>
                <w:sz w:val="24"/>
                <w:szCs w:val="24"/>
              </w:rPr>
              <w:t>2.4. Сбор и отвод ливневых вод с использованием вариантов решений в зависимости от:</w:t>
            </w:r>
          </w:p>
          <w:p>
            <w:pPr>
              <w:pStyle w:val="Normal"/>
              <w:spacing w:lineRule="auto" w:line="240" w:before="0" w:after="0"/>
              <w:ind w:firstLine="452"/>
              <w:jc w:val="both"/>
              <w:rPr>
                <w:rFonts w:ascii="Times New Roman" w:hAnsi="Times New Roman"/>
                <w:sz w:val="24"/>
                <w:szCs w:val="24"/>
              </w:rPr>
            </w:pPr>
            <w:r>
              <w:rPr>
                <w:sz w:val="24"/>
                <w:szCs w:val="24"/>
              </w:rPr>
              <w:t>а) наличия централизованной системы ливневой канализации;</w:t>
            </w:r>
          </w:p>
          <w:p>
            <w:pPr>
              <w:pStyle w:val="Normal"/>
              <w:spacing w:lineRule="auto" w:line="240" w:before="0" w:after="0"/>
              <w:ind w:firstLine="452"/>
              <w:jc w:val="both"/>
              <w:rPr>
                <w:rFonts w:ascii="Times New Roman" w:hAnsi="Times New Roman"/>
                <w:sz w:val="24"/>
                <w:szCs w:val="24"/>
              </w:rPr>
            </w:pPr>
            <w:r>
              <w:rPr>
                <w:sz w:val="24"/>
                <w:szCs w:val="24"/>
              </w:rPr>
              <w:t>б) площади водосбора с учетом транзитных вод</w:t>
              <w:br/>
              <w:t>с прилегающей территории;</w:t>
            </w:r>
          </w:p>
          <w:p>
            <w:pPr>
              <w:pStyle w:val="Normal"/>
              <w:spacing w:lineRule="auto" w:line="240" w:before="0" w:after="0"/>
              <w:ind w:firstLine="452"/>
              <w:jc w:val="both"/>
              <w:rPr>
                <w:rFonts w:ascii="Times New Roman" w:hAnsi="Times New Roman"/>
                <w:sz w:val="24"/>
                <w:szCs w:val="24"/>
              </w:rPr>
            </w:pPr>
            <w:r>
              <w:rPr>
                <w:sz w:val="24"/>
                <w:szCs w:val="24"/>
              </w:rPr>
              <w:t>в) угла наклона рельефа, включающий прилегающие территории;</w:t>
            </w:r>
          </w:p>
          <w:p>
            <w:pPr>
              <w:pStyle w:val="Normal"/>
              <w:spacing w:lineRule="auto" w:line="240" w:before="0" w:after="0"/>
              <w:ind w:firstLine="452"/>
              <w:jc w:val="both"/>
              <w:rPr>
                <w:rFonts w:ascii="Times New Roman" w:hAnsi="Times New Roman"/>
                <w:sz w:val="24"/>
                <w:szCs w:val="24"/>
              </w:rPr>
            </w:pPr>
            <w:r>
              <w:rPr>
                <w:sz w:val="24"/>
                <w:szCs w:val="24"/>
              </w:rPr>
              <w:t xml:space="preserve">г) применения иных решений равномерного отвода поверхностного стока с запрашиваемой территории </w:t>
              <w:br/>
              <w:t>на прилегающие территории.</w:t>
            </w:r>
          </w:p>
          <w:p>
            <w:pPr>
              <w:pStyle w:val="Normal"/>
              <w:spacing w:lineRule="auto" w:line="240" w:before="0" w:after="0"/>
              <w:ind w:firstLine="452"/>
              <w:jc w:val="both"/>
              <w:rPr>
                <w:rFonts w:ascii="Times New Roman" w:hAnsi="Times New Roman"/>
                <w:sz w:val="24"/>
                <w:szCs w:val="24"/>
              </w:rPr>
            </w:pPr>
            <w:r>
              <w:rPr>
                <w:sz w:val="24"/>
                <w:szCs w:val="24"/>
              </w:rPr>
              <w:t>2.5. Определение видов образующихся отходов</w:t>
              <w:br/>
              <w:t>и мест их размещения на период эксплуатации.</w:t>
            </w:r>
          </w:p>
          <w:p>
            <w:pPr>
              <w:pStyle w:val="Normal"/>
              <w:spacing w:lineRule="auto" w:line="240" w:before="0" w:after="0"/>
              <w:ind w:firstLine="452"/>
              <w:jc w:val="both"/>
              <w:rPr>
                <w:rFonts w:ascii="Times New Roman" w:hAnsi="Times New Roman"/>
                <w:sz w:val="24"/>
                <w:szCs w:val="24"/>
              </w:rPr>
            </w:pPr>
            <w:r>
              <w:rPr>
                <w:sz w:val="24"/>
                <w:szCs w:val="24"/>
              </w:rPr>
              <w:t>2.6. Конкретные мероприятия по охране окружающей среды на период строительства, включая:</w:t>
            </w:r>
          </w:p>
          <w:p>
            <w:pPr>
              <w:pStyle w:val="Normal"/>
              <w:spacing w:lineRule="auto" w:line="240" w:before="0" w:after="0"/>
              <w:ind w:firstLine="452"/>
              <w:jc w:val="both"/>
              <w:rPr>
                <w:rFonts w:ascii="Times New Roman" w:hAnsi="Times New Roman"/>
                <w:sz w:val="24"/>
                <w:szCs w:val="24"/>
              </w:rPr>
            </w:pPr>
            <w:r>
              <w:rPr>
                <w:sz w:val="24"/>
                <w:szCs w:val="24"/>
              </w:rPr>
              <w:t>- установку временного защитного ограждения строительной площадки,</w:t>
            </w:r>
          </w:p>
          <w:p>
            <w:pPr>
              <w:pStyle w:val="Normal"/>
              <w:spacing w:lineRule="auto" w:line="240" w:before="0" w:after="0"/>
              <w:ind w:firstLine="452"/>
              <w:jc w:val="both"/>
              <w:rPr>
                <w:rFonts w:ascii="Times New Roman" w:hAnsi="Times New Roman"/>
                <w:sz w:val="24"/>
                <w:szCs w:val="24"/>
              </w:rPr>
            </w:pPr>
            <w:r>
              <w:rPr>
                <w:sz w:val="24"/>
                <w:szCs w:val="24"/>
              </w:rPr>
              <w:t xml:space="preserve">- ограждение существующих зеленых насаждений, </w:t>
              <w:br/>
              <w:t>не попадающих под пятно застройки,</w:t>
            </w:r>
          </w:p>
          <w:p>
            <w:pPr>
              <w:pStyle w:val="Normal"/>
              <w:spacing w:lineRule="auto" w:line="240" w:before="0" w:after="0"/>
              <w:ind w:firstLine="452"/>
              <w:jc w:val="both"/>
              <w:rPr>
                <w:rFonts w:ascii="Times New Roman" w:hAnsi="Times New Roman"/>
                <w:sz w:val="24"/>
                <w:szCs w:val="24"/>
              </w:rPr>
            </w:pPr>
            <w:r>
              <w:rPr>
                <w:sz w:val="24"/>
                <w:szCs w:val="24"/>
              </w:rPr>
              <w:t>- прокладку коммуникаций осуществлять</w:t>
              <w:br/>
              <w:t>на расстоянии не менее 2 м от ствола дерева, чтобы не повредить корневую систему,</w:t>
            </w:r>
          </w:p>
          <w:p>
            <w:pPr>
              <w:pStyle w:val="Normal"/>
              <w:spacing w:lineRule="auto" w:line="240" w:before="0" w:after="0"/>
              <w:ind w:firstLine="452"/>
              <w:jc w:val="both"/>
              <w:rPr>
                <w:rFonts w:ascii="Times New Roman" w:hAnsi="Times New Roman"/>
                <w:sz w:val="24"/>
                <w:szCs w:val="24"/>
              </w:rPr>
            </w:pPr>
            <w:r>
              <w:rPr>
                <w:sz w:val="24"/>
                <w:szCs w:val="24"/>
              </w:rPr>
              <w:t>- не использовать приствольные круги существующих деревьев (ø 1м) под складирование материалов и установки временных сооружений,</w:t>
            </w:r>
          </w:p>
          <w:p>
            <w:pPr>
              <w:pStyle w:val="Normal"/>
              <w:spacing w:lineRule="auto" w:line="240" w:before="0" w:after="0"/>
              <w:ind w:firstLine="452"/>
              <w:jc w:val="both"/>
              <w:rPr>
                <w:rFonts w:ascii="Times New Roman" w:hAnsi="Times New Roman"/>
                <w:sz w:val="24"/>
                <w:szCs w:val="24"/>
              </w:rPr>
            </w:pPr>
            <w:r>
              <w:rPr>
                <w:sz w:val="24"/>
                <w:szCs w:val="24"/>
              </w:rPr>
              <w:t>- определение видов и объемов образующихся отходов и мест их размещения,</w:t>
            </w:r>
          </w:p>
          <w:p>
            <w:pPr>
              <w:pStyle w:val="Normal"/>
              <w:spacing w:lineRule="auto" w:line="240" w:before="0" w:after="0"/>
              <w:ind w:firstLine="452"/>
              <w:jc w:val="both"/>
              <w:rPr>
                <w:rFonts w:ascii="Times New Roman" w:hAnsi="Times New Roman"/>
                <w:sz w:val="24"/>
                <w:szCs w:val="24"/>
              </w:rPr>
            </w:pPr>
            <w:r>
              <w:rPr>
                <w:sz w:val="24"/>
                <w:szCs w:val="24"/>
              </w:rPr>
              <w:t>- систематический вывоз отходов,</w:t>
            </w:r>
          </w:p>
          <w:p>
            <w:pPr>
              <w:pStyle w:val="Normal"/>
              <w:spacing w:lineRule="auto" w:line="240" w:before="0" w:after="0"/>
              <w:ind w:firstLine="452"/>
              <w:jc w:val="both"/>
              <w:rPr>
                <w:rFonts w:ascii="Times New Roman" w:hAnsi="Times New Roman"/>
                <w:sz w:val="24"/>
                <w:szCs w:val="24"/>
              </w:rPr>
            </w:pPr>
            <w:r>
              <w:rPr>
                <w:sz w:val="24"/>
                <w:szCs w:val="24"/>
              </w:rPr>
              <w:t xml:space="preserve">- недопущение загрязнения атмосферы, почвы </w:t>
              <w:br/>
              <w:t>и подземных вод,</w:t>
            </w:r>
          </w:p>
          <w:p>
            <w:pPr>
              <w:pStyle w:val="Normal"/>
              <w:tabs>
                <w:tab w:val="clear" w:pos="708"/>
                <w:tab w:val="left" w:pos="557" w:leader="none"/>
              </w:tabs>
              <w:spacing w:lineRule="auto" w:line="240" w:before="0" w:after="0"/>
              <w:ind w:firstLine="452"/>
              <w:jc w:val="both"/>
              <w:rPr>
                <w:rFonts w:ascii="Times New Roman" w:hAnsi="Times New Roman"/>
                <w:sz w:val="24"/>
                <w:szCs w:val="24"/>
              </w:rPr>
            </w:pPr>
            <w:r>
              <w:rPr>
                <w:sz w:val="24"/>
                <w:szCs w:val="24"/>
              </w:rPr>
              <w:t>- предотвращение выноса грязи автотранспортом, выезжающим со строительной площадки.</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управления по экологии и природопользованию администрации города Перми </w:t>
            </w:r>
            <w:r>
              <w:rPr>
                <w:sz w:val="24"/>
                <w:szCs w:val="24"/>
              </w:rPr>
              <w:t>от 12.07.2024 № 059-33-01-10/3-417).</w:t>
            </w:r>
          </w:p>
          <w:p>
            <w:pPr>
              <w:pStyle w:val="Normal"/>
              <w:spacing w:lineRule="auto" w:line="240" w:before="0" w:after="0"/>
              <w:ind w:firstLine="452"/>
              <w:jc w:val="both"/>
              <w:rPr>
                <w:rFonts w:ascii="Times New Roman" w:hAnsi="Times New Roman"/>
                <w:sz w:val="24"/>
                <w:szCs w:val="24"/>
              </w:rPr>
            </w:pPr>
            <w:r>
              <w:rPr>
                <w:sz w:val="24"/>
                <w:szCs w:val="24"/>
              </w:rPr>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В соответствии с бюджетом города Перми на 2024 год и плановый период 2025-2026 годов мероприятия по строительству, реконструкции, капитальному ремонту улично-дорожной сети на рассматриваемой территории не запланированы.</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Для примыкания земельного участка к улично-дорожной сети города Перми необходимо:</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тел. 236-21-84);</w:t>
            </w:r>
          </w:p>
          <w:p>
            <w:pPr>
              <w:pStyle w:val="Normal"/>
              <w:spacing w:lineRule="auto" w:line="240" w:before="0" w:after="0"/>
              <w:ind w:firstLine="452"/>
              <w:jc w:val="both"/>
              <w:rPr>
                <w:rFonts w:ascii="Times New Roman" w:hAnsi="Times New Roman"/>
                <w:sz w:val="24"/>
                <w:szCs w:val="24"/>
              </w:rPr>
            </w:pPr>
            <w:r>
              <w:rPr>
                <w:sz w:val="24"/>
                <w:szCs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Normal"/>
              <w:spacing w:lineRule="auto" w:line="240" w:before="0" w:after="0"/>
              <w:ind w:firstLine="452"/>
              <w:jc w:val="both"/>
              <w:rPr>
                <w:rFonts w:ascii="Times New Roman" w:hAnsi="Times New Roman"/>
                <w:sz w:val="24"/>
                <w:szCs w:val="24"/>
              </w:rPr>
            </w:pPr>
            <w:r>
              <w:rPr>
                <w:sz w:val="24"/>
                <w:szCs w:val="24"/>
              </w:rPr>
              <w:t>Также направляется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452"/>
              <w:jc w:val="both"/>
              <w:rPr>
                <w:rFonts w:ascii="Times New Roman" w:hAnsi="Times New Roman"/>
                <w:sz w:val="24"/>
                <w:szCs w:val="24"/>
              </w:rPr>
            </w:pPr>
            <w:r>
              <w:rPr>
                <w:sz w:val="24"/>
                <w:szCs w:val="24"/>
              </w:rPr>
              <w:t>поверхностный водоотвод решить проектом без подтопления смежных территорий в соответствии</w:t>
              <w:br/>
              <w:t>с действующими нормативно-правовыми актами и природоохранным законодательством;</w:t>
            </w:r>
          </w:p>
          <w:p>
            <w:pPr>
              <w:pStyle w:val="Normal"/>
              <w:spacing w:lineRule="auto" w:line="240" w:before="0" w:after="0"/>
              <w:ind w:firstLine="452"/>
              <w:jc w:val="both"/>
              <w:rPr>
                <w:rFonts w:ascii="Times New Roman" w:hAnsi="Times New Roman"/>
                <w:sz w:val="24"/>
                <w:szCs w:val="24"/>
              </w:rPr>
            </w:pPr>
            <w:r>
              <w:rPr>
                <w:sz w:val="24"/>
                <w:szCs w:val="24"/>
              </w:rPr>
              <w:t>предусмотреть электроосвещение территории объекта;</w:t>
            </w:r>
          </w:p>
          <w:p>
            <w:pPr>
              <w:pStyle w:val="Normal"/>
              <w:spacing w:lineRule="auto" w:line="240" w:before="0" w:after="0"/>
              <w:ind w:firstLine="452"/>
              <w:jc w:val="both"/>
              <w:rPr>
                <w:rFonts w:ascii="Times New Roman" w:hAnsi="Times New Roman"/>
                <w:sz w:val="24"/>
                <w:szCs w:val="24"/>
              </w:rPr>
            </w:pPr>
            <w:r>
              <w:rPr>
                <w:sz w:val="24"/>
                <w:szCs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Normal"/>
              <w:spacing w:lineRule="auto" w:line="240" w:before="0" w:after="0"/>
              <w:ind w:firstLine="452"/>
              <w:jc w:val="both"/>
              <w:rPr>
                <w:rFonts w:ascii="Times New Roman" w:hAnsi="Times New Roman"/>
                <w:sz w:val="24"/>
                <w:szCs w:val="24"/>
              </w:rPr>
            </w:pPr>
            <w:r>
              <w:rPr>
                <w:sz w:val="24"/>
                <w:szCs w:val="24"/>
              </w:rPr>
              <w:t>предусмотреть устройство подъезда к земельному участку или ликвидацию разрушений, повреждений дорожного покрытия существующего проезда от границ земельного участка до существующей улично-дорожной сети города Перми, а также наружное освещение подъезда.</w:t>
            </w:r>
          </w:p>
          <w:p>
            <w:pPr>
              <w:pStyle w:val="Normal"/>
              <w:spacing w:lineRule="auto" w:line="240" w:before="0" w:after="0"/>
              <w:ind w:firstLine="452"/>
              <w:jc w:val="both"/>
              <w:rPr>
                <w:rFonts w:ascii="Times New Roman" w:hAnsi="Times New Roman"/>
                <w:sz w:val="24"/>
                <w:szCs w:val="24"/>
              </w:rPr>
            </w:pPr>
            <w:r>
              <w:rPr>
                <w:sz w:val="24"/>
                <w:szCs w:val="24"/>
              </w:rPr>
              <w:t xml:space="preserve">Для сведения сообщается, что в соответствии </w:t>
              <w:br/>
              <w:t xml:space="preserve">с Федеральным законом от 08.11.2007 № 257-ФЗ </w:t>
              <w:br/>
              <w:t>«Об автомобильных дорогах и о дорожной деятельности в Российской Федерации и о внесении изменений</w:t>
              <w:br/>
              <w:t xml:space="preserve">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w:t>
              <w:br/>
              <w:t>с обеспечением безопасности дорожного движения, водоотведения и исполнением других установленных техническими регламентами требований, несут лица,</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департамента дорог и благоустройства администрации города Перми от </w:t>
            </w:r>
            <w:r>
              <w:rPr>
                <w:sz w:val="24"/>
                <w:szCs w:val="24"/>
              </w:rPr>
              <w:t>19.06.2024 № 059-24-01-36/3-2109 ).</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Строительство пожарного водоема на указанной территории не запланировано. На указанной территории источники противопожарного водоснабжения отсутствуют.</w:t>
            </w:r>
          </w:p>
          <w:p>
            <w:pPr>
              <w:pStyle w:val="Normal"/>
              <w:spacing w:lineRule="auto" w:line="240" w:before="0" w:after="0"/>
              <w:ind w:firstLine="452"/>
              <w:jc w:val="both"/>
              <w:rPr>
                <w:rFonts w:ascii="Times New Roman" w:hAnsi="Times New Roman"/>
                <w:sz w:val="24"/>
                <w:szCs w:val="24"/>
              </w:rPr>
            </w:pPr>
            <w:r>
              <w:rPr>
                <w:sz w:val="24"/>
                <w:szCs w:val="24"/>
              </w:rPr>
              <w:t>Ближайшее подразделение пожарной охраны расположено по адресу: ул. Василия Каменского, 2 (ПСЧ-4 10-ПСО).</w:t>
            </w:r>
          </w:p>
          <w:p>
            <w:pPr>
              <w:pStyle w:val="Normal"/>
              <w:spacing w:lineRule="auto" w:line="240" w:before="0" w:after="0"/>
              <w:ind w:firstLine="452"/>
              <w:jc w:val="both"/>
              <w:rPr>
                <w:rFonts w:ascii="Times New Roman" w:hAnsi="Times New Roman"/>
                <w:sz w:val="24"/>
                <w:szCs w:val="24"/>
              </w:rPr>
            </w:pPr>
            <w:r>
              <w:rPr>
                <w:sz w:val="24"/>
                <w:szCs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w:t>
              <w:br/>
              <w:t>от 25.02.2021 № 31-02-1-4-248, а также Свода правил 4.13130 «Системы противопожарной защиты. Ограничение распространения пожара на объектах защиты. Требования к объемно-планировочным</w:t>
              <w:br/>
              <w:t>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452"/>
              <w:jc w:val="both"/>
              <w:rPr>
                <w:rFonts w:ascii="Times New Roman" w:hAnsi="Times New Roman"/>
                <w:sz w:val="24"/>
                <w:szCs w:val="24"/>
              </w:rPr>
            </w:pPr>
            <w:r>
              <w:rPr>
                <w:sz w:val="24"/>
                <w:szCs w:val="24"/>
              </w:rPr>
              <w:t>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Normal"/>
              <w:spacing w:lineRule="auto" w:line="240" w:before="0" w:after="0"/>
              <w:ind w:firstLine="452"/>
              <w:jc w:val="both"/>
              <w:rPr>
                <w:rFonts w:ascii="Times New Roman" w:hAnsi="Times New Roman"/>
                <w:sz w:val="24"/>
                <w:szCs w:val="24"/>
              </w:rPr>
            </w:pPr>
            <w:r>
              <w:rPr>
                <w:sz w:val="24"/>
                <w:szCs w:val="24"/>
              </w:rPr>
              <w:t>По информации, предоставленной Министерством территориальной безопасности Пермского края, рассматриваемый земельный участок попадает в зону возможного химического заражения в особый период.</w:t>
            </w:r>
          </w:p>
          <w:p>
            <w:pPr>
              <w:pStyle w:val="Normal"/>
              <w:spacing w:lineRule="auto" w:line="240" w:before="0" w:after="0"/>
              <w:ind w:firstLine="452"/>
              <w:jc w:val="both"/>
              <w:rPr>
                <w:rFonts w:ascii="Times New Roman" w:hAnsi="Times New Roman"/>
                <w:sz w:val="24"/>
                <w:szCs w:val="24"/>
              </w:rPr>
            </w:pPr>
            <w:r>
              <w:rPr>
                <w:sz w:val="24"/>
                <w:szCs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ул. Докучаева, 40Б – 1500 метров.</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общественной безопасности администрации города Перми</w:t>
            </w:r>
            <w:r>
              <w:rPr>
                <w:sz w:val="24"/>
                <w:szCs w:val="24"/>
              </w:rPr>
              <w:t xml:space="preserve"> от 18.06.2024 № 059-10-01-27/3-869).</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департамента жилищно-коммунального хозяйства администрации города Перми</w:t>
            </w:r>
            <w:r>
              <w:rPr>
                <w:sz w:val="24"/>
                <w:szCs w:val="24"/>
              </w:rPr>
              <w:t xml:space="preserve"> от 19.06.2024 № 059-04-17/3-579-ри).</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 xml:space="preserve">Согласно </w:t>
            </w:r>
            <w:r>
              <w:rPr>
                <w:b/>
                <w:sz w:val="24"/>
                <w:szCs w:val="24"/>
              </w:rPr>
              <w:t xml:space="preserve">протоколу заседания координационного совещания по обеспечению правопорядка </w:t>
              <w:br/>
              <w:t xml:space="preserve">в Пермском крае от 16.03.2022 №74-гс </w:t>
            </w:r>
            <w:r>
              <w:rPr>
                <w:sz w:val="24"/>
                <w:szCs w:val="24"/>
              </w:rPr>
              <w:t>для строительства объектов городской инфраструктуры (парков, скверов, торгово-развлекательных комплексов, иных зданий и сооружений) обязательным является условие по установке камер видеонаблюдения.</w:t>
            </w:r>
          </w:p>
          <w:p>
            <w:pPr>
              <w:pStyle w:val="Normal"/>
              <w:spacing w:lineRule="auto" w:line="240" w:before="0" w:after="0"/>
              <w:ind w:firstLine="452"/>
              <w:jc w:val="both"/>
              <w:rPr>
                <w:rFonts w:ascii="Times New Roman" w:hAnsi="Times New Roman"/>
                <w:sz w:val="24"/>
                <w:szCs w:val="24"/>
              </w:rPr>
            </w:pPr>
            <w:r>
              <w:rPr>
                <w:sz w:val="24"/>
                <w:szCs w:val="24"/>
              </w:rPr>
            </w:r>
          </w:p>
        </w:tc>
      </w:tr>
      <w:tr>
        <w:trPr>
          <w:trHeight w:val="1087"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 xml:space="preserve">Согласно информации, содержащейся </w:t>
              <w:br/>
              <w:t xml:space="preserve">в градостроительном плане от 03.07.2024 </w:t>
              <w:br/>
              <w:t xml:space="preserve">№ РФ-59-2-03-0-00-2024-1368-0 (далее – ГПЗУ) 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w:t>
              <w:br/>
              <w:t>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szCs w:val="24"/>
              </w:rPr>
            </w:pPr>
            <w:r>
              <w:rPr>
                <w:sz w:val="24"/>
                <w:szCs w:val="24"/>
              </w:rPr>
              <w:t>Минимальный отступ от границ земельного участка до места допустимого размещения зданий, строений – 0 м. Предельное количество этажей и (или) предельная высота зданий, строений – без ограничений.</w:t>
            </w:r>
          </w:p>
          <w:p>
            <w:pPr>
              <w:pStyle w:val="Normal"/>
              <w:spacing w:lineRule="auto" w:line="240" w:before="0" w:after="0"/>
              <w:ind w:firstLine="311"/>
              <w:jc w:val="both"/>
              <w:rPr>
                <w:rFonts w:ascii="Times New Roman" w:hAnsi="Times New Roman"/>
                <w:sz w:val="24"/>
                <w:szCs w:val="24"/>
              </w:rPr>
            </w:pPr>
            <w:r>
              <w:rPr>
                <w:sz w:val="24"/>
                <w:szCs w:val="24"/>
              </w:rPr>
              <w:t>Максимальный процент застройки в границах земельного участка, определяемый как отношений суммарной площади земельного участка, которая может быть застроена, ко всей площади земельного участка – без ограничений.</w:t>
            </w:r>
          </w:p>
          <w:p>
            <w:pPr>
              <w:pStyle w:val="Normal"/>
              <w:spacing w:lineRule="auto" w:line="240" w:before="0" w:after="0"/>
              <w:ind w:firstLine="311"/>
              <w:jc w:val="both"/>
              <w:rPr>
                <w:rFonts w:ascii="Times New Roman" w:hAnsi="Times New Roman"/>
                <w:sz w:val="24"/>
                <w:szCs w:val="24"/>
                <w:highlight w:val="none"/>
              </w:rPr>
            </w:pPr>
            <w:r>
              <w:rPr>
                <w:sz w:val="24"/>
                <w:szCs w:val="24"/>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 – без ограничений.</w:t>
            </w:r>
          </w:p>
          <w:p>
            <w:pPr>
              <w:pStyle w:val="Normal"/>
              <w:spacing w:lineRule="auto" w:line="240" w:before="0" w:after="0"/>
              <w:ind w:firstLine="311"/>
              <w:jc w:val="both"/>
              <w:rPr>
                <w:rFonts w:ascii="Times New Roman" w:hAnsi="Times New Roman"/>
                <w:sz w:val="24"/>
                <w:szCs w:val="24"/>
              </w:rPr>
            </w:pPr>
            <w:r>
              <w:rPr>
                <w:sz w:val="24"/>
                <w:szCs w:val="24"/>
                <w:lang w:val="en-US"/>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указаны в градостроительном плане земельного участка (пункт 3 статьи 57.3 Градостроительного кодекса Российской Федерации).</w:t>
            </w:r>
          </w:p>
          <w:p>
            <w:pPr>
              <w:pStyle w:val="Normal"/>
              <w:spacing w:lineRule="auto" w:line="240" w:before="0" w:after="0"/>
              <w:ind w:firstLine="311"/>
              <w:jc w:val="both"/>
              <w:rPr>
                <w:rFonts w:ascii="Times New Roman" w:hAnsi="Times New Roman"/>
                <w:sz w:val="24"/>
                <w:szCs w:val="24"/>
              </w:rPr>
            </w:pPr>
            <w:r>
              <w:rPr>
                <w:sz w:val="24"/>
                <w:szCs w:val="24"/>
              </w:rPr>
              <w:t>В соответствии с таблицей Б.1 «Показатели плотности застройки участков территориальных зон»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земельного участка в производственно коммунально-складской зоне составляет 1,8. Таким образом, предельные параметры разрешенного строительства на Участке составляют 1668,6 кв. м (927 кв. м х 1,8).</w:t>
            </w:r>
          </w:p>
          <w:p>
            <w:pPr>
              <w:pStyle w:val="Normal"/>
              <w:ind w:firstLine="311"/>
              <w:jc w:val="both"/>
              <w:rPr>
                <w:sz w:val="24"/>
                <w:szCs w:val="24"/>
                <w:highlight w:val="none"/>
              </w:rPr>
            </w:pPr>
            <w:r>
              <w:rPr>
                <w:sz w:val="24"/>
                <w:szCs w:val="24"/>
              </w:rPr>
              <w:t xml:space="preserve">В соответствии с пунктом 2.1.34. Решения Пермской городской Думы от 15.12.2020 № 277 «Об утверждении Правил благоустройства территории города Перми» при проектировании и строительстве объекта капитального строительства необходимо соблюдать требования </w:t>
            </w:r>
            <w:r>
              <w:rPr>
                <w:sz w:val="24"/>
                <w:szCs w:val="24"/>
              </w:rPr>
              <w:br w:type="textWrapping" w:clear="all"/>
            </w:r>
            <w:r>
              <w:rPr>
                <w:sz w:val="24"/>
                <w:szCs w:val="24"/>
              </w:rPr>
              <w:t>по разработке паспорта внешнего облика объекта капитального строительства (колерный паспорт).</w:t>
            </w:r>
          </w:p>
          <w:p>
            <w:pPr>
              <w:pStyle w:val="Normal"/>
              <w:ind w:firstLine="311"/>
              <w:jc w:val="both"/>
              <w:rPr>
                <w:sz w:val="24"/>
                <w:szCs w:val="24"/>
              </w:rPr>
            </w:pPr>
            <w:r>
              <w:rPr>
                <w:sz w:val="24"/>
                <w:szCs w:val="24"/>
              </w:rPr>
              <w:t xml:space="preserve">Колерный паспорт - документ, разрабатываемый </w:t>
            </w:r>
            <w:r>
              <w:rPr>
                <w:sz w:val="24"/>
                <w:szCs w:val="24"/>
              </w:rPr>
              <w:br w:type="textWrapping" w:clear="all"/>
            </w:r>
            <w:r>
              <w:rPr>
                <w:sz w:val="24"/>
                <w:szCs w:val="24"/>
              </w:rPr>
              <w:t xml:space="preserve">в случаях, предусмотренных действующим законодательством, Правилами, для фасада здания, строения, сооружения при планируемом строительстве, реконструкции, капитальном ремонте, реставрации, приспособлении объекта культурного наследия </w:t>
            </w:r>
            <w:r>
              <w:rPr>
                <w:spacing w:val="-4"/>
                <w:sz w:val="24"/>
                <w:szCs w:val="24"/>
              </w:rPr>
              <w:t xml:space="preserve">для современного использования, а также при изменении внешнего вида здания, строения, сооружения, который устанавливает внешний облик (вид) фасада здания, строения, сооружения, включая требования </w:t>
            </w:r>
            <w:r>
              <w:rPr>
                <w:sz w:val="24"/>
                <w:szCs w:val="24"/>
              </w:rPr>
              <w:t xml:space="preserve">в отношении материалов, способов отделки и цветов фасадов, ограждающих конструкций (крыш (кровельного покрытия), ограждений балконов, лоджий), мест для размещения средств размещения информации (вывесок, указателей с наименованиями улиц </w:t>
            </w:r>
            <w:r>
              <w:rPr>
                <w:sz w:val="24"/>
                <w:szCs w:val="24"/>
              </w:rPr>
              <w:br w:type="textWrapping" w:clear="all"/>
            </w:r>
            <w:r>
              <w:rPr>
                <w:sz w:val="24"/>
                <w:szCs w:val="24"/>
              </w:rPr>
              <w:t xml:space="preserve">и номерами домов (зданий)), рекламных конструкций, </w:t>
            </w:r>
            <w:r>
              <w:rPr>
                <w:sz w:val="24"/>
                <w:szCs w:val="24"/>
              </w:rPr>
              <w:br w:type="textWrapping" w:clear="all"/>
            </w:r>
            <w:r>
              <w:rPr>
                <w:sz w:val="24"/>
                <w:szCs w:val="24"/>
              </w:rPr>
              <w:t>а также мест для размещения, вида, цветового решения архитектурно-художественной подсветки.</w:t>
            </w:r>
          </w:p>
          <w:p>
            <w:pPr>
              <w:pStyle w:val="Normal"/>
              <w:ind w:firstLine="311"/>
              <w:jc w:val="both"/>
              <w:rPr>
                <w:sz w:val="24"/>
                <w:szCs w:val="24"/>
              </w:rPr>
            </w:pPr>
            <w:r>
              <w:rPr>
                <w:sz w:val="24"/>
                <w:szCs w:val="24"/>
              </w:rPr>
              <w:t xml:space="preserve">Колерный паспорт подлежит согласованию </w:t>
            </w:r>
            <w:r>
              <w:rPr>
                <w:sz w:val="24"/>
                <w:szCs w:val="24"/>
              </w:rPr>
              <w:br w:type="textWrapping" w:clear="all"/>
            </w:r>
            <w:r>
              <w:rPr>
                <w:sz w:val="24"/>
                <w:szCs w:val="24"/>
              </w:rPr>
              <w:t>с функциональным органом администрации города Перми, осуществляющим функции управления в сфере градостроительства.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1"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планируемым объемом потребления газа 3,29 куб.м/час к существующим сетям газораспределения имеется.</w:t>
            </w:r>
          </w:p>
          <w:p>
            <w:pPr>
              <w:pStyle w:val="Normal"/>
              <w:spacing w:lineRule="auto" w:line="240" w:before="0" w:after="0"/>
              <w:ind w:firstLine="452"/>
              <w:jc w:val="both"/>
              <w:rPr>
                <w:rFonts w:ascii="Times New Roman" w:hAnsi="Times New Roman"/>
                <w:sz w:val="24"/>
                <w:szCs w:val="24"/>
              </w:rPr>
            </w:pPr>
            <w:r>
              <w:rPr>
                <w:sz w:val="24"/>
                <w:szCs w:val="24"/>
              </w:rPr>
              <w:t xml:space="preserve">Для рассмотрения вопроса о предоставлении технических условий на подключение (технологическое присоединение) заявителю, намеревающемуся осуществить подключение к газораспределительным сетям объектов капитального строительства необходимо направить в адрес филиала в г. Пермь АО «Газпром газораспределение Пермь» (на электронную почту </w:t>
            </w:r>
            <w:hyperlink r:id="rId10">
              <w:r>
                <w:rPr>
                  <w:rStyle w:val="ListLabel36"/>
                  <w:color w:val="0000FF"/>
                  <w:sz w:val="24"/>
                  <w:szCs w:val="24"/>
                  <w:u w:val="single"/>
                  <w:lang w:val="en-US"/>
                </w:rPr>
                <w:t>post</w:t>
              </w:r>
              <w:r>
                <w:rPr>
                  <w:rStyle w:val="ListLabel36"/>
                  <w:color w:val="0000FF"/>
                  <w:sz w:val="24"/>
                  <w:szCs w:val="24"/>
                  <w:u w:val="single"/>
                </w:rPr>
                <w:t>@</w:t>
              </w:r>
              <w:r>
                <w:rPr>
                  <w:rStyle w:val="ListLabel36"/>
                  <w:color w:val="0000FF"/>
                  <w:sz w:val="24"/>
                  <w:szCs w:val="24"/>
                  <w:u w:val="single"/>
                  <w:lang w:val="en-US"/>
                </w:rPr>
                <w:t>pf</w:t>
              </w:r>
              <w:r>
                <w:rPr>
                  <w:rStyle w:val="ListLabel36"/>
                  <w:color w:val="0000FF"/>
                  <w:sz w:val="24"/>
                  <w:szCs w:val="24"/>
                  <w:u w:val="single"/>
                </w:rPr>
                <w:t>.</w:t>
              </w:r>
              <w:r>
                <w:rPr>
                  <w:rStyle w:val="ListLabel36"/>
                  <w:color w:val="0000FF"/>
                  <w:sz w:val="24"/>
                  <w:szCs w:val="24"/>
                  <w:u w:val="single"/>
                  <w:lang w:val="en-US"/>
                </w:rPr>
                <w:t>ugaz</w:t>
              </w:r>
              <w:r>
                <w:rPr>
                  <w:rStyle w:val="ListLabel36"/>
                  <w:color w:val="0000FF"/>
                  <w:sz w:val="24"/>
                  <w:szCs w:val="24"/>
                  <w:u w:val="single"/>
                </w:rPr>
                <w:t>.</w:t>
              </w:r>
              <w:r>
                <w:rPr>
                  <w:rStyle w:val="ListLabel36"/>
                  <w:color w:val="0000FF"/>
                  <w:sz w:val="24"/>
                  <w:szCs w:val="24"/>
                  <w:u w:val="single"/>
                  <w:lang w:val="en-US"/>
                </w:rPr>
                <w:t>ru</w:t>
              </w:r>
            </w:hyperlink>
            <w:r>
              <w:rPr>
                <w:sz w:val="24"/>
                <w:szCs w:val="24"/>
              </w:rPr>
              <w:t xml:space="preserve">; почтой России по адресу: 614107, Пермский край, г. Пермь, ул. Уральская, д. 104; через Единый центр предоставления услуг по адресу: </w:t>
              <w:br/>
              <w:t>г. Пермь, ул. Уральская, д. 104, каб. 101, график работы: пн-ср. с 8:00 до 17:00, чт с 11:00 до .20:00,</w:t>
              <w:br/>
              <w:t xml:space="preserve">пт с 8:00 до 16:00, вторая суббота месяца с 08:00 </w:t>
              <w:br/>
              <w:t xml:space="preserve">до 16:00) Заявку о заключении договора о подключении (технологическом присоединении) по типовой форме </w:t>
              <w:br/>
              <w:t>с пакетом документов в соответствии с п. 11,16 Постановления Правительства Российской федерации № 1547 от 13.09.2021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18.06.2024 № ПФ-3663).</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О предоставлении информации о возможности подключения к сетям водоснабжения и водоотведения с планируемым водопотреблением и водоотведением - 0,53 м</w:t>
            </w:r>
            <w:r>
              <w:rPr>
                <w:sz w:val="24"/>
                <w:szCs w:val="24"/>
                <w:vertAlign w:val="superscript"/>
              </w:rPr>
              <w:t>З</w:t>
            </w:r>
            <w:r>
              <w:rPr>
                <w:sz w:val="24"/>
                <w:szCs w:val="24"/>
              </w:rPr>
              <w:t>/сут, с расходом на наружное пожаротушение - 25 л/с, сообщается следующее.</w:t>
            </w:r>
          </w:p>
          <w:p>
            <w:pPr>
              <w:pStyle w:val="Normal"/>
              <w:spacing w:lineRule="auto" w:line="240" w:before="0" w:after="0"/>
              <w:ind w:firstLine="452"/>
              <w:jc w:val="both"/>
              <w:rPr>
                <w:rFonts w:ascii="Times New Roman" w:hAnsi="Times New Roman"/>
                <w:sz w:val="24"/>
                <w:szCs w:val="24"/>
              </w:rPr>
            </w:pPr>
            <w:r>
              <w:rPr>
                <w:sz w:val="24"/>
                <w:szCs w:val="24"/>
              </w:rPr>
              <w:t>В районе Участка отсутствуют централизованные сети водоснабжения, эксплуатируемые ООО «НОВОГОР-Прикамье». Ближайшей возможной точкой подключения к централизованным сетям холодного водоснабжения являются сети третьего лица – АО «ПЗСП».</w:t>
            </w:r>
          </w:p>
          <w:p>
            <w:pPr>
              <w:pStyle w:val="Normal"/>
              <w:spacing w:lineRule="auto" w:line="240" w:before="0" w:after="0"/>
              <w:ind w:firstLine="452"/>
              <w:jc w:val="both"/>
              <w:rPr>
                <w:rFonts w:ascii="Times New Roman" w:hAnsi="Times New Roman"/>
                <w:sz w:val="24"/>
                <w:szCs w:val="24"/>
              </w:rPr>
            </w:pPr>
            <w:r>
              <w:rPr>
                <w:sz w:val="24"/>
                <w:szCs w:val="24"/>
              </w:rPr>
              <w:t>Ближайшей возможной точкой подключения</w:t>
              <w:br/>
              <w:t>к централизованным сетям водоотведения является сеть канализации по ул. Транспортная.</w:t>
            </w:r>
          </w:p>
          <w:p>
            <w:pPr>
              <w:pStyle w:val="Normal"/>
              <w:spacing w:lineRule="auto" w:line="240" w:before="0" w:after="0"/>
              <w:ind w:firstLine="452"/>
              <w:jc w:val="both"/>
              <w:rPr>
                <w:rFonts w:ascii="Times New Roman" w:hAnsi="Times New Roman"/>
                <w:sz w:val="24"/>
                <w:szCs w:val="24"/>
              </w:rPr>
            </w:pPr>
            <w:r>
              <w:rPr>
                <w:sz w:val="24"/>
                <w:szCs w:val="24"/>
              </w:rPr>
              <w:t xml:space="preserve">Для сведения сообщается, что резерв мощности (пропускной способности сетей и сооружений </w:t>
              <w:br/>
              <w:t>ООО «НОВОГОР-Прикамье») м/р-на Пролетарский Дзержинского района г. Перми достаточен для подключения объекта к централизованным системам холодного водоснабжения и водоотведения.</w:t>
            </w:r>
          </w:p>
          <w:p>
            <w:pPr>
              <w:pStyle w:val="Normal"/>
              <w:spacing w:lineRule="auto" w:line="240" w:before="0" w:after="0"/>
              <w:ind w:firstLine="452"/>
              <w:jc w:val="both"/>
              <w:rPr>
                <w:rFonts w:ascii="Times New Roman" w:hAnsi="Times New Roman"/>
                <w:sz w:val="24"/>
                <w:szCs w:val="24"/>
              </w:rPr>
            </w:pPr>
            <w:r>
              <w:rPr>
                <w:sz w:val="24"/>
                <w:szCs w:val="24"/>
              </w:rPr>
              <w:t>Дополнительно может потребоваться установка владельцем сетей холодного водоснабжения (АО «ПЗСП») регуляторов давления для обеспечения потребителя нормативным давлением.</w:t>
            </w:r>
          </w:p>
          <w:p>
            <w:pPr>
              <w:pStyle w:val="Normal"/>
              <w:spacing w:lineRule="auto" w:line="240" w:before="0" w:after="0"/>
              <w:ind w:firstLine="452"/>
              <w:jc w:val="both"/>
              <w:rPr>
                <w:rFonts w:ascii="Times New Roman" w:hAnsi="Times New Roman"/>
                <w:sz w:val="24"/>
                <w:szCs w:val="24"/>
              </w:rPr>
            </w:pPr>
            <w:r>
              <w:rPr>
                <w:sz w:val="24"/>
                <w:szCs w:val="24"/>
              </w:rPr>
              <w:t>Обращается внимание, что в границах/вблизи земельного участка по ул. Транспортная проходят следующие централизованные сети водоотведения:</w:t>
            </w:r>
          </w:p>
          <w:p>
            <w:pPr>
              <w:pStyle w:val="Normal"/>
              <w:spacing w:lineRule="auto" w:line="240" w:before="0" w:after="0"/>
              <w:ind w:firstLine="452"/>
              <w:jc w:val="both"/>
              <w:rPr>
                <w:rFonts w:ascii="Times New Roman" w:hAnsi="Times New Roman"/>
                <w:sz w:val="24"/>
                <w:szCs w:val="24"/>
              </w:rPr>
            </w:pPr>
            <w:r>
              <w:rPr>
                <w:sz w:val="24"/>
                <w:szCs w:val="24"/>
              </w:rPr>
              <w:t>- сеть канализации по ул. Транспортная (Д-300 мм, материал - ПВХ, 2005 года строительства);</w:t>
            </w:r>
          </w:p>
          <w:p>
            <w:pPr>
              <w:pStyle w:val="Normal"/>
              <w:spacing w:lineRule="auto" w:line="240" w:before="0" w:after="0"/>
              <w:ind w:firstLine="452"/>
              <w:jc w:val="both"/>
              <w:rPr>
                <w:rFonts w:ascii="Times New Roman" w:hAnsi="Times New Roman"/>
                <w:sz w:val="24"/>
                <w:szCs w:val="24"/>
              </w:rPr>
            </w:pPr>
            <w:r>
              <w:rPr>
                <w:sz w:val="24"/>
                <w:szCs w:val="24"/>
              </w:rPr>
              <w:t>- напорные сети канализации по ул. Транспортная (2Д-200 мм, материал - чугун).</w:t>
            </w:r>
          </w:p>
          <w:p>
            <w:pPr>
              <w:pStyle w:val="Normal"/>
              <w:spacing w:lineRule="auto" w:line="240" w:before="0" w:after="0"/>
              <w:ind w:firstLine="452"/>
              <w:jc w:val="both"/>
              <w:rPr>
                <w:rFonts w:ascii="Times New Roman" w:hAnsi="Times New Roman"/>
                <w:sz w:val="24"/>
                <w:szCs w:val="24"/>
              </w:rPr>
            </w:pPr>
            <w:r>
              <w:rPr>
                <w:sz w:val="24"/>
                <w:szCs w:val="24"/>
              </w:rPr>
              <w:t xml:space="preserve">Размещение Объекта возможно </w:t>
            </w:r>
            <w:r>
              <w:rPr>
                <w:b/>
                <w:bCs/>
                <w:sz w:val="24"/>
                <w:szCs w:val="24"/>
                <w:u w:val="single"/>
              </w:rPr>
              <w:t>строго</w:t>
            </w:r>
            <w:r>
              <w:rPr>
                <w:b/>
                <w:bCs/>
                <w:sz w:val="24"/>
                <w:szCs w:val="24"/>
              </w:rPr>
              <w:t xml:space="preserve"> </w:t>
            </w:r>
            <w:r>
              <w:rPr>
                <w:sz w:val="24"/>
                <w:szCs w:val="24"/>
              </w:rPr>
              <w:t>без нарушения требований табл. 12.5 СП 42.13330.2016 «Градостроительство. Планировка и застройка городских и сельских поселений» о минимальных расстояниях:</w:t>
            </w:r>
          </w:p>
          <w:p>
            <w:pPr>
              <w:pStyle w:val="Normal"/>
              <w:spacing w:lineRule="auto" w:line="240" w:before="0" w:after="0"/>
              <w:ind w:firstLine="452"/>
              <w:jc w:val="both"/>
              <w:rPr>
                <w:rFonts w:ascii="Times New Roman" w:hAnsi="Times New Roman"/>
                <w:sz w:val="24"/>
                <w:szCs w:val="24"/>
              </w:rPr>
            </w:pPr>
            <w:r>
              <w:rPr>
                <w:sz w:val="24"/>
                <w:szCs w:val="24"/>
              </w:rPr>
              <w:t xml:space="preserve">- до сетей напорной канализации – не менее 5м </w:t>
              <w:br/>
              <w:t>(в свету);</w:t>
            </w:r>
          </w:p>
          <w:p>
            <w:pPr>
              <w:pStyle w:val="Normal"/>
              <w:spacing w:lineRule="auto" w:line="240" w:before="0" w:after="0"/>
              <w:ind w:firstLine="452"/>
              <w:jc w:val="both"/>
              <w:rPr>
                <w:rFonts w:ascii="Times New Roman" w:hAnsi="Times New Roman"/>
                <w:sz w:val="24"/>
                <w:szCs w:val="24"/>
              </w:rPr>
            </w:pPr>
            <w:r>
              <w:rPr>
                <w:sz w:val="24"/>
                <w:szCs w:val="24"/>
              </w:rPr>
              <w:t xml:space="preserve">- до сетей самотечной канализации - не менее 3 м </w:t>
              <w:br/>
              <w:t>(в свету).</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18.07.2023 № 110-11792).</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Имеется возможность подключения (технологического присоединения) к сетям водоснабжения и водоотведения с предполагаемой нагрузкой 0,53 м3/сут. и расходом воды на наружное пожаротушение 25 л/с.</w:t>
            </w:r>
          </w:p>
          <w:p>
            <w:pPr>
              <w:pStyle w:val="Normal"/>
              <w:spacing w:lineRule="auto" w:line="240" w:before="0" w:after="0"/>
              <w:ind w:firstLine="452"/>
              <w:jc w:val="both"/>
              <w:rPr>
                <w:rFonts w:ascii="Times New Roman" w:hAnsi="Times New Roman"/>
                <w:sz w:val="24"/>
                <w:szCs w:val="24"/>
              </w:rPr>
            </w:pPr>
            <w:r>
              <w:rPr>
                <w:sz w:val="24"/>
                <w:szCs w:val="24"/>
              </w:rPr>
              <w:t>В случае необходимости подключения к сетям водоснабжения и водоотведения объекта капитального строительства, расположенного на Участке, заявителю требуется получить технические условия от АО «ПЗСП», а также согласовать объемы водоснабжения и водоотведения с ООО «НОВОГОР-Прикамье». Размещение объекта возможно строго без нарушения требований табл. 12.5 СП 42.13330.2016 «Градостроительство. Планировка и застройка городских и сельских поселений».</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«ПЗСП» от 19.09.2024 №1585</w:t>
            </w:r>
            <w:r>
              <w:rPr>
                <w:sz w:val="24"/>
                <w:szCs w:val="24"/>
              </w:rPr>
              <w:t>).</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Участок находится вне зоны теплоснабжения ПАО «Т Плюс».</w:t>
            </w:r>
          </w:p>
          <w:p>
            <w:pPr>
              <w:pStyle w:val="Normal"/>
              <w:spacing w:lineRule="auto" w:line="240" w:before="0" w:after="0"/>
              <w:ind w:firstLine="452"/>
              <w:jc w:val="both"/>
              <w:rPr>
                <w:rFonts w:ascii="Times New Roman" w:hAnsi="Times New Roman"/>
                <w:sz w:val="24"/>
                <w:szCs w:val="24"/>
              </w:rPr>
            </w:pPr>
            <w:r>
              <w:rPr>
                <w:sz w:val="24"/>
                <w:szCs w:val="24"/>
              </w:rPr>
              <w:t>Рекомендуется рассмотреть возможность альтернативного источника теплоснабжения.</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Пермские тепловые сети Филиал ПАО «Т Плюс» </w:t>
            </w:r>
            <w:r>
              <w:rPr>
                <w:sz w:val="24"/>
                <w:szCs w:val="24"/>
              </w:rPr>
              <w:t xml:space="preserve"> от 19.06.2024 № 51000-32-01963).</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 xml:space="preserve">Для выдачи технических условий на присоединение </w:t>
              <w:br/>
              <w:t>к централизованному отоплению (котельная по ул. Докучаева, 31), предлагается обратиться в АО «ПЗСП».</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письмах </w:t>
            </w:r>
            <w:r>
              <w:rPr>
                <w:b/>
                <w:bCs/>
                <w:sz w:val="24"/>
                <w:szCs w:val="24"/>
              </w:rPr>
              <w:t xml:space="preserve">департамента жилищно-коммунального хозяйства администрации города Перми </w:t>
            </w:r>
            <w:r>
              <w:rPr>
                <w:b w:val="false"/>
                <w:bCs w:val="false"/>
                <w:sz w:val="24"/>
                <w:szCs w:val="24"/>
              </w:rPr>
              <w:t>от 27.06.2024 № 059-04-25/3-76-ри,</w:t>
            </w:r>
            <w:r>
              <w:rPr>
                <w:b/>
                <w:bCs/>
                <w:sz w:val="24"/>
                <w:szCs w:val="24"/>
              </w:rPr>
              <w:t xml:space="preserve"> администрации Дзержинского района города Перми  </w:t>
            </w:r>
            <w:r>
              <w:rPr>
                <w:b w:val="false"/>
                <w:bCs w:val="false"/>
                <w:sz w:val="24"/>
                <w:szCs w:val="24"/>
              </w:rPr>
              <w:t>от 11.07.2024 № 059-07-01-50/3-292).</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Сообщается об отсутствии возможности присоединения к сетям теплоснабжения по причине отсутствия свободных тепловых мощностей на водогрейной котельной, расположенной по адресу: г. Пермь, ул. Докучаева, 31.</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АО «ПЗСП»</w:t>
            </w:r>
            <w:r>
              <w:rPr>
                <w:sz w:val="24"/>
                <w:szCs w:val="24"/>
              </w:rPr>
              <w:t xml:space="preserve"> от 05.07.2024 № 1064).</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О возможности технологического присоединения к электросетям филиала объекта капитального строительства, расположенного на Участке, с предполагаемой максимальной мощностью энергопринимающих устройств 200,23 кВт сообщается следующее.</w:t>
            </w:r>
          </w:p>
          <w:p>
            <w:pPr>
              <w:pStyle w:val="Normal"/>
              <w:spacing w:lineRule="auto" w:line="240" w:before="0" w:after="0"/>
              <w:ind w:firstLine="452"/>
              <w:jc w:val="both"/>
              <w:rPr>
                <w:rFonts w:ascii="Times New Roman" w:hAnsi="Times New Roman"/>
                <w:sz w:val="24"/>
                <w:szCs w:val="24"/>
              </w:rPr>
            </w:pPr>
            <w:r>
              <w:rPr>
                <w:sz w:val="24"/>
                <w:szCs w:val="24"/>
              </w:rPr>
              <w:t>Порядок технологического присоединения</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 861 (далее – Правила ТП).</w:t>
            </w:r>
          </w:p>
          <w:p>
            <w:pPr>
              <w:pStyle w:val="Normal"/>
              <w:spacing w:lineRule="auto" w:line="240" w:before="0" w:after="0"/>
              <w:ind w:firstLine="452"/>
              <w:jc w:val="both"/>
              <w:rPr>
                <w:rFonts w:ascii="Times New Roman" w:hAnsi="Times New Roman"/>
                <w:sz w:val="24"/>
                <w:szCs w:val="24"/>
              </w:rPr>
            </w:pPr>
            <w:r>
              <w:rPr>
                <w:sz w:val="24"/>
                <w:szCs w:val="24"/>
              </w:rPr>
              <w:t>В силу п.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sz w:val="24"/>
                <w:szCs w:val="24"/>
              </w:rPr>
            </w:pPr>
            <w:r>
              <w:rPr>
                <w:sz w:val="24"/>
                <w:szCs w:val="24"/>
              </w:rPr>
              <w:t>При этом Правилами ТП не предусмотрена подготовка и выдача сетевой организацией частным лицам либо органам государственной власти (местного самоуправления) каких-либо предварительных технических условий на подключение к электрическим сетям без подачи заявки на технологическое присоединение.</w:t>
            </w:r>
          </w:p>
          <w:p>
            <w:pPr>
              <w:pStyle w:val="Normal"/>
              <w:spacing w:lineRule="auto" w:line="240" w:before="0" w:after="0"/>
              <w:ind w:firstLine="452"/>
              <w:jc w:val="both"/>
              <w:rPr>
                <w:rFonts w:ascii="Times New Roman" w:hAnsi="Times New Roman"/>
                <w:sz w:val="24"/>
                <w:szCs w:val="24"/>
              </w:rPr>
            </w:pPr>
            <w:r>
              <w:rPr>
                <w:sz w:val="24"/>
                <w:szCs w:val="24"/>
              </w:rPr>
              <w:t>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sz w:val="24"/>
                <w:szCs w:val="24"/>
              </w:rPr>
            </w:pPr>
            <w:r>
              <w:rPr>
                <w:sz w:val="24"/>
                <w:szCs w:val="24"/>
              </w:rPr>
              <w:t>Таким образом, для получения технических условий</w:t>
              <w:br/>
              <w:t xml:space="preserve">и заключения договора на технологическое присоединение необходимо направить в адрес филиала ПАО «Россети Урал» - «Пермэнерго» заявку на технологическое присоединение с указанием сведений и приложением необходимых документов </w:t>
              <w:br/>
              <w:t>в соответствии Правилами ТП.</w:t>
            </w:r>
          </w:p>
          <w:p>
            <w:pPr>
              <w:pStyle w:val="Normal"/>
              <w:spacing w:lineRule="auto" w:line="240" w:before="0" w:after="0"/>
              <w:ind w:firstLine="452"/>
              <w:jc w:val="both"/>
              <w:rPr>
                <w:rFonts w:ascii="Times New Roman" w:hAnsi="Times New Roman"/>
                <w:sz w:val="24"/>
                <w:szCs w:val="24"/>
              </w:rPr>
            </w:pPr>
            <w:r>
              <w:rPr>
                <w:sz w:val="24"/>
                <w:szCs w:val="24"/>
              </w:rPr>
              <w:t>Заявку на технологическое присоединение можно подать через единый федеральный портал электросетевых услуг группы компаний «Россети»-ПОРТАЛ-ТП.РФ.</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ПАО «Россети Урал» – филиал «Пермэнерго» </w:t>
            </w:r>
            <w:r>
              <w:rPr>
                <w:sz w:val="24"/>
                <w:szCs w:val="24"/>
              </w:rPr>
              <w:t>от 09.07.2024 № ПЭ/22/642).</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Заречная (Дзержинский р-н), д. 162а),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452"/>
              <w:jc w:val="both"/>
              <w:rPr>
                <w:rFonts w:ascii="Times New Roman" w:hAnsi="Times New Roman"/>
                <w:sz w:val="24"/>
                <w:szCs w:val="24"/>
              </w:rPr>
            </w:pPr>
            <w:r>
              <w:rPr>
                <w:sz w:val="24"/>
                <w:szCs w:val="24"/>
              </w:rPr>
              <w:t>Для подключения (технологического присоединения) Участка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452"/>
              <w:jc w:val="both"/>
              <w:rPr>
                <w:rFonts w:ascii="Times New Roman" w:hAnsi="Times New Roman"/>
                <w:sz w:val="24"/>
                <w:szCs w:val="24"/>
              </w:rPr>
            </w:pPr>
            <w:r>
              <w:rPr>
                <w:sz w:val="24"/>
                <w:szCs w:val="24"/>
              </w:rPr>
              <w:t>Срок действия технических условий составляет 3 года (при комплексном развитии территории 5 лет) со дня выдачи технических условий.</w:t>
            </w:r>
          </w:p>
          <w:p>
            <w:pPr>
              <w:pStyle w:val="Normal"/>
              <w:spacing w:lineRule="auto" w:line="240" w:before="0" w:after="0"/>
              <w:ind w:firstLine="452"/>
              <w:jc w:val="both"/>
              <w:rPr>
                <w:rFonts w:ascii="Times New Roman" w:hAnsi="Times New Roman"/>
                <w:sz w:val="24"/>
                <w:szCs w:val="24"/>
              </w:rPr>
            </w:pPr>
            <w:r>
              <w:rPr>
                <w:sz w:val="24"/>
                <w:szCs w:val="24"/>
              </w:rPr>
              <w:t xml:space="preserve">В случае, если в течение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РФ </w:t>
              <w:br/>
              <w:t>от 01.07.2022 № 1196).</w:t>
            </w:r>
          </w:p>
          <w:p>
            <w:pPr>
              <w:pStyle w:val="Normal"/>
              <w:spacing w:lineRule="auto" w:line="240" w:before="0" w:after="0"/>
              <w:ind w:firstLine="452"/>
              <w:jc w:val="both"/>
              <w:rPr>
                <w:rFonts w:ascii="Times New Roman" w:hAnsi="Times New Roman"/>
                <w:sz w:val="24"/>
                <w:szCs w:val="24"/>
              </w:rPr>
            </w:pPr>
            <w:r>
              <w:rPr>
                <w:color w:val="000000"/>
                <w:sz w:val="24"/>
                <w:szCs w:val="24"/>
              </w:rPr>
              <w:t xml:space="preserve">Для получения ТУ на подключение к сетям связи </w:t>
              <w:br/>
              <w:t xml:space="preserve">ПАО «Ростелеком» необходимо обратиться в Отдел продаж и обслуживания по адресу: г. Пермь, ул. Крупской, 2, тел.: +7 (342) 235-57-34 или направить запрос на </w:t>
            </w:r>
            <w:hyperlink r:id="rId11">
              <w:r>
                <w:rPr>
                  <w:rStyle w:val="ListLabel54"/>
                  <w:color w:val="0000FF"/>
                  <w:sz w:val="24"/>
                  <w:szCs w:val="24"/>
                  <w:u w:val="single"/>
                </w:rPr>
                <w:t>perm-mail@ural.rt.ru</w:t>
              </w:r>
            </w:hyperlink>
            <w:r>
              <w:rPr>
                <w:color w:val="000000"/>
                <w:sz w:val="24"/>
                <w:szCs w:val="24"/>
              </w:rPr>
              <w:t>.</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ПАО «Ростелеком»</w:t>
            </w:r>
            <w:r>
              <w:rPr>
                <w:sz w:val="24"/>
                <w:szCs w:val="24"/>
              </w:rPr>
              <w:t xml:space="preserve"> от 26.06.2024 № 01/05/91150/24).</w:t>
            </w:r>
          </w:p>
          <w:p>
            <w:pPr>
              <w:pStyle w:val="Normal"/>
              <w:spacing w:lineRule="auto" w:line="240" w:before="0" w:after="0"/>
              <w:ind w:firstLine="452"/>
              <w:jc w:val="both"/>
              <w:rPr>
                <w:rFonts w:ascii="Times New Roman" w:hAnsi="Times New Roman"/>
                <w:sz w:val="24"/>
                <w:szCs w:val="24"/>
              </w:rPr>
            </w:pPr>
            <w:r>
              <w:rPr>
                <w:sz w:val="24"/>
                <w:szCs w:val="24"/>
              </w:rPr>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jc w:val="left"/>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w:t>
              <w:br/>
              <w:t xml:space="preserve">(далее – ЗК РФ), обязан до подписания договора уплатить ежегодный размер арендной платы, указанный в п. 4.2 договора (за вычетом задатка, внесенного для участия в аукционе) </w:t>
            </w:r>
            <w:r>
              <w:rPr>
                <w:b/>
                <w:bCs w:val="false"/>
                <w:color w:val="000000"/>
                <w:sz w:val="24"/>
                <w:szCs w:val="24"/>
                <w:shd w:fill="auto" w:val="clear"/>
              </w:rPr>
              <w:t>однократно за первые 3 года</w:t>
            </w:r>
            <w:r>
              <w:rPr>
                <w:b/>
                <w:bCs w:val="false"/>
                <w:color w:val="000000"/>
                <w:sz w:val="24"/>
                <w:szCs w:val="24"/>
              </w:rPr>
              <w:t xml:space="preserve"> </w:t>
            </w:r>
            <w:r>
              <w:rPr>
                <w:b w:val="false"/>
                <w:bCs w:val="false"/>
                <w:sz w:val="24"/>
                <w:szCs w:val="24"/>
              </w:rPr>
              <w:t xml:space="preserve">на счет департамента земельных отношений администрации города Перми, 614015, ул. Сибирская,15, 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2 к настоящему извещению)</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676 000 руб.</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33 800 руб.</w:t>
            </w:r>
          </w:p>
        </w:tc>
      </w:tr>
      <w:tr>
        <w:trPr>
          <w:trHeight w:val="41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1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2"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338 000 руб.</w:t>
            </w:r>
          </w:p>
          <w:p>
            <w:pPr>
              <w:pStyle w:val="Normal"/>
              <w:jc w:val="both"/>
              <w:rPr>
                <w:sz w:val="24"/>
                <w:szCs w:val="24"/>
              </w:rPr>
            </w:pPr>
            <w:r>
              <w:rPr>
                <w:sz w:val="24"/>
                <w:szCs w:val="24"/>
              </w:rPr>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103"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4 года 10 месяцев</w:t>
            </w:r>
          </w:p>
        </w:tc>
      </w:tr>
      <w:tr>
        <w:trPr>
          <w:trHeight w:val="18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1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530"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6"/>
        <w:gridCol w:w="3103"/>
        <w:gridCol w:w="6861"/>
      </w:tblGrid>
      <w:tr>
        <w:trPr>
          <w:trHeight w:val="87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17 декабря  2024 г. № 21-01-03-11416 «О проведении аукциона на право заключения договора аренды земельного участка в Индустриальном районе города Перми»</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Промышленная, з/у 137е</w:t>
            </w:r>
          </w:p>
        </w:tc>
      </w:tr>
      <w:tr>
        <w:trPr>
          <w:trHeight w:val="148"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1000 кв. м</w:t>
            </w:r>
          </w:p>
        </w:tc>
      </w:tr>
      <w:tr>
        <w:trPr>
          <w:trHeight w:val="155"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14:ligatures w14:val="none"/>
              </w:rPr>
            </w:pPr>
            <w:r>
              <w:rPr>
                <w:sz w:val="24"/>
                <w:szCs w:val="24"/>
              </w:rPr>
              <w:t>59:01:4716065:286</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6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rFonts w:eastAsia="TimesNewRomanPSMT"/>
                <w:sz w:val="24"/>
                <w:szCs w:val="24"/>
              </w:rPr>
              <w:t>склады (6.9)</w:t>
            </w:r>
          </w:p>
        </w:tc>
      </w:tr>
      <w:tr>
        <w:trPr>
          <w:trHeight w:val="576"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6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1" w:type="dxa"/>
            <w:tcBorders>
              <w:top w:val="single" w:sz="4" w:space="0" w:color="000000"/>
              <w:left w:val="single" w:sz="4" w:space="0" w:color="000000"/>
              <w:bottom w:val="single" w:sz="4" w:space="0" w:color="000000"/>
              <w:right w:val="single" w:sz="4" w:space="0" w:color="000000"/>
            </w:tcBorders>
          </w:tcPr>
          <w:p>
            <w:pPr>
              <w:pStyle w:val="Normal"/>
              <w:ind w:firstLine="311"/>
              <w:jc w:val="both"/>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25.07.2025г. No КУВИ-001/2025-145478828 </w:t>
            </w:r>
            <w:r>
              <w:rPr>
                <w:color w:val="auto"/>
                <w:sz w:val="24"/>
                <w:szCs w:val="24"/>
              </w:rPr>
              <w:t>(далее – ЕГРН)</w:t>
            </w:r>
            <w:r>
              <w:rPr>
                <w:sz w:val="24"/>
                <w:szCs w:val="24"/>
              </w:rPr>
              <w:t>;</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 xml:space="preserve">от 14.11.2024 № РФ-59-2-03-0-00-2024-2376-0 </w:t>
            </w:r>
            <w:r>
              <w:rPr>
                <w:color w:val="auto"/>
                <w:sz w:val="24"/>
                <w:szCs w:val="24"/>
              </w:rPr>
              <w:t xml:space="preserve"> (далее – ГПЗУ)</w:t>
            </w:r>
            <w:r>
              <w:rPr>
                <w:sz w:val="24"/>
                <w:szCs w:val="24"/>
              </w:rPr>
              <w:t>.</w:t>
            </w:r>
          </w:p>
          <w:p>
            <w:pPr>
              <w:pStyle w:val="BodyText"/>
              <w:ind w:firstLine="312"/>
              <w:jc w:val="both"/>
              <w:rPr>
                <w:color w:val="000000"/>
                <w:sz w:val="24"/>
              </w:rPr>
            </w:pPr>
            <w:r>
              <w:rPr>
                <w:color w:val="000000"/>
                <w:sz w:val="24"/>
              </w:rPr>
            </w:r>
          </w:p>
          <w:p>
            <w:pPr>
              <w:pStyle w:val="Normal"/>
              <w:spacing w:lineRule="auto" w:line="240" w:before="0" w:after="0"/>
              <w:ind w:firstLine="452"/>
              <w:jc w:val="both"/>
              <w:rPr>
                <w:rFonts w:ascii="Times New Roman" w:hAnsi="Times New Roman"/>
                <w:sz w:val="24"/>
              </w:rPr>
            </w:pPr>
            <w:r>
              <w:rPr>
                <w:sz w:val="24"/>
              </w:rPr>
              <w:t>В ходе визуального осмотра территории установлено, что Участок не огорожен, зарос растительностью, на территории расположены ЛЭП. Участок не используется.</w:t>
            </w:r>
          </w:p>
          <w:p>
            <w:pPr>
              <w:pStyle w:val="Normal"/>
              <w:spacing w:lineRule="auto" w:line="240" w:before="0" w:after="0"/>
              <w:ind w:firstLine="452"/>
              <w:jc w:val="both"/>
              <w:rPr>
                <w:rFonts w:ascii="Times New Roman" w:hAnsi="Times New Roman"/>
                <w:sz w:val="24"/>
                <w:szCs w:val="24"/>
              </w:rPr>
            </w:pPr>
            <w:r>
              <w:rPr>
                <w:sz w:val="24"/>
                <w:szCs w:val="24"/>
              </w:rPr>
              <w:t>(Аналогичная информация отражена в письме а</w:t>
            </w:r>
            <w:r>
              <w:rPr>
                <w:b/>
                <w:sz w:val="24"/>
                <w:szCs w:val="24"/>
              </w:rPr>
              <w:t>дминистрации Индустриального района города Перми</w:t>
            </w:r>
            <w:r>
              <w:rPr>
                <w:sz w:val="24"/>
                <w:szCs w:val="24"/>
              </w:rPr>
              <w:t xml:space="preserve"> от 04.12.2024 № 059-16-01-07/3-1182, в акте обследования территории от 18.11.2024 № 156).</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13"/>
              <w:jc w:val="both"/>
              <w:rPr>
                <w:rFonts w:ascii="Times New Roman" w:hAnsi="Times New Roman"/>
                <w:sz w:val="24"/>
                <w:szCs w:val="24"/>
              </w:rPr>
            </w:pPr>
            <w:r>
              <w:rPr>
                <w:sz w:val="24"/>
                <w:szCs w:val="24"/>
              </w:rPr>
              <w:t xml:space="preserve">Проектирование и строительство вести </w:t>
              <w:br/>
              <w:t>в соответствии с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РФ от 17.08.1992 № 197,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452"/>
              <w:jc w:val="both"/>
              <w:rPr>
                <w:rFonts w:ascii="Times New Roman" w:hAnsi="Times New Roman"/>
                <w:sz w:val="24"/>
                <w:szCs w:val="24"/>
              </w:rPr>
            </w:pPr>
            <w:r>
              <w:rPr>
                <w:sz w:val="24"/>
                <w:szCs w:val="24"/>
              </w:rPr>
              <w:t>В соответствии с копией планшета М 1:500 (требующего корректуры) в границах Участка расположены сети электроснабжения.</w:t>
            </w:r>
          </w:p>
          <w:p>
            <w:pPr>
              <w:pStyle w:val="Normal"/>
              <w:spacing w:lineRule="auto" w:line="240" w:before="0" w:after="0"/>
              <w:ind w:firstLine="452"/>
              <w:jc w:val="both"/>
              <w:rPr>
                <w:rFonts w:ascii="Times New Roman" w:hAnsi="Times New Roman"/>
                <w:sz w:val="24"/>
                <w:szCs w:val="24"/>
              </w:rPr>
            </w:pPr>
            <w:r>
              <w:rPr>
                <w:sz w:val="24"/>
                <w:szCs w:val="24"/>
              </w:rPr>
              <w:t xml:space="preserve">Согласно сведениям, содержащимся в ЕГРН, ГПЗУ и справке по градостроительным условиям участка </w:t>
              <w:br/>
              <w:t xml:space="preserve">от 28.07.2025 № </w:t>
            </w:r>
            <w:r>
              <w:rPr>
                <w:bCs/>
                <w:sz w:val="24"/>
                <w:szCs w:val="24"/>
              </w:rPr>
              <w:t>639048</w:t>
            </w:r>
            <w:r>
              <w:rPr>
                <w:sz w:val="24"/>
                <w:szCs w:val="24"/>
              </w:rPr>
              <w:t xml:space="preserve"> Участок расположен в ЗОУИТ:</w:t>
            </w:r>
          </w:p>
          <w:p>
            <w:pPr>
              <w:pStyle w:val="Normal"/>
              <w:spacing w:lineRule="auto" w:line="240" w:before="0" w:after="0"/>
              <w:ind w:firstLine="452"/>
              <w:jc w:val="both"/>
              <w:rPr>
                <w:rFonts w:ascii="Times New Roman" w:hAnsi="Times New Roman"/>
                <w:sz w:val="24"/>
                <w:szCs w:val="24"/>
              </w:rPr>
            </w:pPr>
            <w:r>
              <w:rPr>
                <w:sz w:val="24"/>
                <w:szCs w:val="24"/>
              </w:rPr>
              <w:t>полостью в границах зоны с особыми условиями использования территории Охранная зона транспорта «Зона с особыми условиями использования – Приаэродромная территория аэродрома аэропорта Большое Савино», реестровый номер 59:32-6.553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452"/>
              <w:jc w:val="both"/>
              <w:rPr>
                <w:rFonts w:ascii="Times New Roman" w:hAnsi="Times New Roman"/>
                <w:sz w:val="24"/>
                <w:szCs w:val="24"/>
              </w:rPr>
            </w:pPr>
            <w:r>
              <w:rPr>
                <w:sz w:val="24"/>
                <w:szCs w:val="24"/>
              </w:rPr>
              <w:t>полностью в границах зоны с особыми условиями использования территории Санитарно-защитная зона предприятий, сооружений и иных объектов «Единая санитарно-защитная зона промузла «Осенцы», реестровый номер 59:00-6.30 (Постановление администрации города Перми от 20.06.2007 №°</w:t>
            </w:r>
            <w:r>
              <w:rPr>
                <w:i/>
                <w:iCs/>
                <w:sz w:val="24"/>
                <w:szCs w:val="24"/>
              </w:rPr>
              <w:t xml:space="preserve"> </w:t>
            </w:r>
            <w:r>
              <w:rPr>
                <w:sz w:val="24"/>
                <w:szCs w:val="24"/>
              </w:rPr>
              <w:t xml:space="preserve">227 «Об утверждении проекта границ общей санитарно-защитной зоны промышленного узла «Осенцы» </w:t>
              <w:br/>
              <w:t>в Индустриальном районе»);</w:t>
            </w:r>
          </w:p>
          <w:p>
            <w:pPr>
              <w:pStyle w:val="Normal"/>
              <w:spacing w:lineRule="auto" w:line="240" w:before="0" w:after="0"/>
              <w:ind w:firstLine="452"/>
              <w:jc w:val="both"/>
              <w:rPr>
                <w:rFonts w:ascii="Times New Roman" w:hAnsi="Times New Roman"/>
                <w:sz w:val="24"/>
                <w:szCs w:val="24"/>
              </w:rPr>
            </w:pPr>
            <w:r>
              <w:rPr>
                <w:sz w:val="24"/>
                <w:szCs w:val="24"/>
              </w:rPr>
              <w:t xml:space="preserve">полностью в границах зоны с особыми условиями использования территории Санитарно-защитная зона предприятий, сооружений и иных объектов «Санитарно-защитная зона для ООО «ЛУКОЙЛ- Пермнефтеоргсинтез» с учетом строительства блока гликолевой осушки и строительства эстакады тактового налива светлых нефтепродуктов», 59:00-6.1604 (Решение Федеральной службы по надзору в сфере защиты драв потребителей и благополучия человека от 06.07.2020 № 126-РСЗЗ «Об установлении санитарно- защитной зоны для промышленной площадки </w:t>
              <w:br/>
              <w:t>ООО «ЛУКОЙЛ -Пермнефтеоргсинтез» с учетом строительства блока гликолевой осушки и строительства эстакады тактового налива светлых нефтепродуктов, расположенного по адресу: Пермский край, г. Пермь, ул. Промышленная, д. 84»).</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pacing w:val="-2"/>
                <w:sz w:val="24"/>
                <w:szCs w:val="24"/>
                <w:highlight w:val="none"/>
              </w:rPr>
            </w:pPr>
            <w:r>
              <w:rPr>
                <w:sz w:val="24"/>
                <w:szCs w:val="24"/>
              </w:rPr>
              <w:t xml:space="preserve">На Участке произрастают 8 деревьев пород – тополь 6 шт., черемуха 2 шт. </w:t>
            </w:r>
            <w:r>
              <w:rPr>
                <w:spacing w:val="-2"/>
                <w:sz w:val="24"/>
                <w:szCs w:val="24"/>
              </w:rPr>
              <w:t>Восстановительная стоимость сносимых зеленых насаждений в ценах 2024 года: одного лиственного дерева от 25 тыс. руб., хвойной - от 30 тыс. руб.</w:t>
            </w:r>
          </w:p>
          <w:p>
            <w:pPr>
              <w:pStyle w:val="Normal"/>
              <w:spacing w:lineRule="auto" w:line="240" w:before="0" w:after="0"/>
              <w:ind w:firstLine="283" w:left="0" w:right="0"/>
              <w:jc w:val="both"/>
              <w:rPr>
                <w:color w:themeColor="text1" w:val="000000"/>
                <w:highlight w:val="white"/>
              </w:rPr>
            </w:pPr>
            <w:r>
              <w:rPr>
                <w:rFonts w:eastAsia="Times New Roman" w:cs="Times New Roman"/>
                <w:color w:themeColor="text1" w:val="000000"/>
                <w:sz w:val="24"/>
                <w:highlight w:val="white"/>
              </w:rPr>
              <w:t>Победителю аукциона необходимо соблюдать условия строительства, перечисленные в перечне мероприятий по охране окружающей среды от 19.11.2024 № 248 (прилагается).</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управления по экологии и природопользованию администрации города Перми </w:t>
            </w:r>
            <w:r>
              <w:rPr>
                <w:sz w:val="24"/>
                <w:szCs w:val="24"/>
              </w:rPr>
              <w:t>от 19.11.2024 № 059-33-01-10/3-749).</w:t>
            </w:r>
          </w:p>
          <w:p>
            <w:pPr>
              <w:pStyle w:val="Normal"/>
              <w:spacing w:lineRule="auto" w:line="240" w:before="0" w:after="0"/>
              <w:ind w:firstLine="452"/>
              <w:jc w:val="both"/>
              <w:rPr>
                <w:rFonts w:ascii="Times New Roman" w:hAnsi="Times New Roman"/>
                <w:sz w:val="24"/>
                <w:szCs w:val="24"/>
              </w:rPr>
            </w:pPr>
            <w:r>
              <w:rPr>
                <w:sz w:val="24"/>
                <w:szCs w:val="24"/>
              </w:rPr>
            </w:r>
          </w:p>
          <w:p>
            <w:pPr>
              <w:pStyle w:val="Normal"/>
              <w:tabs>
                <w:tab w:val="clear" w:pos="708"/>
                <w:tab w:val="left" w:pos="557" w:leader="none"/>
              </w:tabs>
              <w:spacing w:lineRule="auto" w:line="240" w:before="0" w:after="0"/>
              <w:ind w:firstLine="452"/>
              <w:jc w:val="both"/>
              <w:rPr>
                <w:rFonts w:ascii="Times New Roman" w:hAnsi="Times New Roman"/>
                <w:sz w:val="24"/>
                <w:szCs w:val="24"/>
              </w:rPr>
            </w:pPr>
            <w:r>
              <w:rPr>
                <w:sz w:val="24"/>
                <w:szCs w:val="24"/>
              </w:rPr>
              <w:t>В соответствии с бюджетом города Перми на 2024 год и плановый период 2025-2026 годов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tabs>
                <w:tab w:val="clear" w:pos="708"/>
                <w:tab w:val="left" w:pos="557" w:leader="none"/>
              </w:tabs>
              <w:spacing w:lineRule="auto" w:line="240" w:before="0" w:after="0"/>
              <w:ind w:firstLine="452"/>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мероприятия, указанные в настоящем письме.</w:t>
            </w:r>
          </w:p>
          <w:p>
            <w:pPr>
              <w:pStyle w:val="Normal"/>
              <w:tabs>
                <w:tab w:val="clear" w:pos="708"/>
                <w:tab w:val="left" w:pos="557" w:leader="none"/>
              </w:tabs>
              <w:spacing w:lineRule="auto" w:line="240" w:before="0" w:after="0"/>
              <w:ind w:firstLine="452"/>
              <w:jc w:val="both"/>
              <w:rPr>
                <w:rFonts w:ascii="Times New Roman" w:hAnsi="Times New Roman"/>
                <w:sz w:val="24"/>
                <w:szCs w:val="24"/>
              </w:rPr>
            </w:pPr>
            <w:r>
              <w:rPr>
                <w:sz w:val="24"/>
                <w:szCs w:val="24"/>
              </w:rPr>
              <w:t>Также указывается необходимость соблюдать Правила благоустройства территории города Перми, утвержденные решением Пермской городской Думы от 15.12.2020 № 277, при строительстве объектов недвижимости на земельных участках, предоставленных на торгах, указанные в данном письме.</w:t>
            </w:r>
          </w:p>
          <w:p>
            <w:pPr>
              <w:pStyle w:val="Normal"/>
              <w:tabs>
                <w:tab w:val="clear" w:pos="708"/>
                <w:tab w:val="left" w:pos="557" w:leader="none"/>
              </w:tabs>
              <w:spacing w:lineRule="auto" w:line="240" w:before="0" w:after="0"/>
              <w:ind w:firstLine="452"/>
              <w:jc w:val="both"/>
              <w:rPr>
                <w:rFonts w:ascii="Times New Roman" w:hAnsi="Times New Roman"/>
                <w:sz w:val="24"/>
                <w:szCs w:val="24"/>
              </w:rPr>
            </w:pPr>
            <w:r>
              <w:rPr>
                <w:sz w:val="24"/>
                <w:szCs w:val="24"/>
              </w:rPr>
              <w:t xml:space="preserve">Для сведения сообщается, что в соответствии </w:t>
              <w:br/>
              <w:t xml:space="preserve">с Федеральным законом от 08.11.2007 № 257-ФЗ </w:t>
              <w:br/>
              <w:t xml:space="preserve">«Об автомобильных дорогах и о дорожной деятельности в Российской Федерации и о внесении изменений </w:t>
              <w:br/>
              <w:t xml:space="preserve">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департамента дорог и благоустройства администрации города Перми от </w:t>
            </w:r>
            <w:r>
              <w:rPr>
                <w:sz w:val="24"/>
                <w:szCs w:val="24"/>
              </w:rPr>
              <w:t>01.11.2024 № 059-24-01-36/3-3991).</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Ближайшее подразделение пожарной охраны расположено по адресу: ул. Беляева, 29 (ПСЧ-2 10-ПСО). На указанной территории источники противопожарного водоснабжения отсутствуют.</w:t>
            </w:r>
          </w:p>
          <w:p>
            <w:pPr>
              <w:pStyle w:val="Normal"/>
              <w:spacing w:lineRule="auto" w:line="240" w:before="0" w:after="0"/>
              <w:ind w:firstLine="452"/>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в данном микрорайоне отсутствуют. Ближайший участковый пункт расположен по адресу: г. Пермь, ул. Экскаваторная, 57, (м-н Нагорный, Индустриальный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452"/>
              <w:jc w:val="both"/>
              <w:rPr>
                <w:rFonts w:ascii="Times New Roman" w:hAnsi="Times New Roman"/>
                <w:sz w:val="24"/>
                <w:szCs w:val="24"/>
              </w:rPr>
            </w:pPr>
            <w:r>
              <w:rPr>
                <w:sz w:val="24"/>
                <w:szCs w:val="24"/>
              </w:rPr>
              <w:t xml:space="preserve">По информации, предоставленной Министерством территориальной безопасности Пермского края </w:t>
              <w:br/>
              <w:t>от 07.10.2024 № 964с, рассматриваемая территория попадает в зону возможного химического заражения в особый период.</w:t>
            </w:r>
          </w:p>
          <w:p>
            <w:pPr>
              <w:pStyle w:val="Normal"/>
              <w:spacing w:lineRule="auto" w:line="240" w:before="0" w:after="0"/>
              <w:ind w:firstLine="452"/>
              <w:jc w:val="both"/>
              <w:rPr>
                <w:rFonts w:ascii="Times New Roman" w:hAnsi="Times New Roman"/>
                <w:sz w:val="24"/>
                <w:szCs w:val="24"/>
                <w:highlight w:val="none"/>
              </w:rPr>
            </w:pPr>
            <w:r>
              <w:rPr>
                <w:sz w:val="24"/>
                <w:szCs w:val="24"/>
              </w:rPr>
              <w:t>На Участках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452"/>
              <w:jc w:val="both"/>
              <w:rPr>
                <w:rFonts w:ascii="Times New Roman" w:hAnsi="Times New Roman"/>
                <w:sz w:val="24"/>
                <w:szCs w:val="24"/>
              </w:rPr>
            </w:pPr>
            <w:r>
              <w:rPr/>
              <w:t>Согласно протоколу заседания координационного совещания по обеспечению правопорядка в Пермском крае от 16.03.2022 №74-гс для строительства объектов городской инфраструктуры (парков, скверов, торгово-развлекательных комплексов, иных зданий и сооружений) обязательным является условие по установке камер видеонаблюдения.</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общественной безопасности администрации города Перми</w:t>
            </w:r>
            <w:r>
              <w:rPr>
                <w:sz w:val="24"/>
                <w:szCs w:val="24"/>
              </w:rPr>
              <w:t xml:space="preserve"> от 02.11.2024 № 059-10-01-27/3-1795).</w:t>
            </w:r>
          </w:p>
          <w:p>
            <w:pPr>
              <w:pStyle w:val="Normal"/>
              <w:spacing w:lineRule="auto" w:line="240" w:before="0" w:after="0"/>
              <w:ind w:firstLine="452"/>
              <w:jc w:val="both"/>
              <w:rPr>
                <w:rFonts w:ascii="Times New Roman" w:hAnsi="Times New Roman"/>
                <w:sz w:val="24"/>
                <w:szCs w:val="24"/>
              </w:rPr>
            </w:pPr>
            <w:r>
              <w:rPr>
                <w:sz w:val="24"/>
                <w:szCs w:val="24"/>
              </w:rPr>
            </w:r>
          </w:p>
        </w:tc>
      </w:tr>
      <w:tr>
        <w:trPr>
          <w:trHeight w:val="1087"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В соответствии с пунктом 2.1.34. Решения Пермской городской Думы от 15.12.2020 № 277 «Об утверждении Правил благоустройства территории города Перми»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Правила).</w:t>
            </w:r>
          </w:p>
          <w:p>
            <w:pPr>
              <w:pStyle w:val="Normal"/>
              <w:spacing w:lineRule="auto" w:line="240" w:before="0" w:after="0"/>
              <w:ind w:firstLine="452"/>
              <w:jc w:val="both"/>
              <w:rPr>
                <w:rFonts w:ascii="Times New Roman" w:hAnsi="Times New Roman"/>
                <w:sz w:val="24"/>
                <w:szCs w:val="24"/>
              </w:rPr>
            </w:pPr>
            <w:r>
              <w:rPr>
                <w:sz w:val="24"/>
                <w:szCs w:val="24"/>
              </w:rPr>
              <w:t xml:space="preserve">Колерный паспорт – документ, разрабатываемый </w:t>
              <w:br/>
              <w:t xml:space="preserve">в случаях, предусмотренных действующим законодательством, Правилами, для фасада здания, строения, сооружения при планируемом строительстве, реконструкции, капитальном ремонте, реставрации, приспособлении объекта культурного наследия для современного использования, а также при изменении внешнего вида здания, строения, сооружения, который устанавливает внешний облик (вид) фасада здания, строения, сооружения, включая требования </w:t>
              <w:br/>
              <w:t>в отношении материалов, способов отделки и цветов фасадов, ограждающих конструкций (крыш (кровельного покрытия), ограждений балконов, лоджий), мест для размещения средств размещения информации (вывесок, указателей с наименованиями улиц и номерами домов (зданий)), рекламных конструкций, а также мест для размещения, вида, цветового решения архитектурно-художественной подсветки.</w:t>
            </w:r>
          </w:p>
          <w:p>
            <w:pPr>
              <w:pStyle w:val="Normal"/>
              <w:spacing w:lineRule="auto" w:line="240" w:before="0" w:after="0"/>
              <w:ind w:firstLine="452"/>
              <w:jc w:val="both"/>
              <w:rPr>
                <w:rFonts w:ascii="Times New Roman" w:hAnsi="Times New Roman"/>
                <w:sz w:val="24"/>
                <w:szCs w:val="24"/>
              </w:rPr>
            </w:pPr>
            <w:r>
              <w:rPr>
                <w:sz w:val="24"/>
                <w:szCs w:val="24"/>
              </w:rPr>
              <w:t xml:space="preserve">Колерный паспорт подлежит согласованию </w:t>
              <w:br/>
              <w:t>с функциональным органом администрации города Перми, осуществляющим функции управления в сфере градостроительства.</w:t>
            </w:r>
          </w:p>
          <w:p>
            <w:pPr>
              <w:pStyle w:val="Normal"/>
              <w:spacing w:lineRule="auto" w:line="240" w:before="0" w:after="0"/>
              <w:ind w:firstLine="452"/>
              <w:jc w:val="both"/>
              <w:rPr>
                <w:rFonts w:ascii="Times New Roman" w:hAnsi="Times New Roman"/>
                <w:sz w:val="24"/>
                <w:szCs w:val="24"/>
              </w:rPr>
            </w:pPr>
            <w:r>
              <w:rPr>
                <w:sz w:val="24"/>
                <w:szCs w:val="24"/>
              </w:rPr>
              <w:t xml:space="preserve">Согласно информации, содержащейся </w:t>
              <w:br/>
              <w:t>в градостроительном плане от 14.11.2024 № РФ-59-2-03-0-00-2024-2376-0 (далее – ГПЗУ) 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452"/>
              <w:jc w:val="both"/>
              <w:rPr>
                <w:rFonts w:ascii="Times New Roman" w:hAnsi="Times New Roman"/>
                <w:sz w:val="24"/>
                <w:szCs w:val="24"/>
              </w:rPr>
            </w:pPr>
            <w:r>
              <w:rPr>
                <w:sz w:val="24"/>
                <w:szCs w:val="24"/>
              </w:rPr>
              <w:t xml:space="preserve">Максимальный класс опасности (в соответствии </w:t>
              <w:br/>
              <w:t xml:space="preserve">с санитарно- эпидемиологическими правилами) объектов капитального строительства, размещаемых на земельных участках – </w:t>
            </w:r>
            <w:r>
              <w:rPr>
                <w:sz w:val="24"/>
                <w:szCs w:val="24"/>
                <w:lang w:val="en-US"/>
              </w:rPr>
              <w:t>III</w:t>
            </w:r>
            <w:r>
              <w:rPr>
                <w:sz w:val="24"/>
                <w:szCs w:val="24"/>
              </w:rPr>
              <w:t>.</w:t>
            </w:r>
          </w:p>
          <w:p>
            <w:pPr>
              <w:pStyle w:val="Normal"/>
              <w:spacing w:lineRule="auto" w:line="240" w:before="0" w:after="0"/>
              <w:ind w:firstLine="452"/>
              <w:jc w:val="both"/>
              <w:rPr>
                <w:rFonts w:ascii="Times New Roman" w:hAnsi="Times New Roman"/>
                <w:sz w:val="24"/>
                <w:szCs w:val="24"/>
              </w:rPr>
            </w:pPr>
            <w:r>
              <w:rPr>
                <w:sz w:val="24"/>
                <w:szCs w:val="24"/>
              </w:rPr>
              <w:t>Минимальный отступ от границ земельного участка до места допустимого размещения зданий, строений – 0 м. Предельное количество этажей и (или) предельная высота зданий, строений – без ограничений. Максимальный процент застройки в границах земельного участка, определяемый как отношений суммарной площади земельного участка, которая может быть застроена, ко всей площади земельного участка – без ограничений.</w:t>
            </w:r>
          </w:p>
          <w:p>
            <w:pPr>
              <w:pStyle w:val="Normal"/>
              <w:spacing w:lineRule="auto" w:line="240" w:before="0" w:after="0"/>
              <w:ind w:firstLine="452"/>
              <w:jc w:val="both"/>
              <w:rPr>
                <w:rFonts w:ascii="Times New Roman" w:hAnsi="Times New Roman"/>
                <w:sz w:val="24"/>
                <w:szCs w:val="24"/>
              </w:rPr>
            </w:pPr>
            <w:r>
              <w:rPr>
                <w:sz w:val="24"/>
                <w:szCs w:val="24"/>
              </w:rPr>
              <w:t>В соответствии с таблицей Б.1 «Показатели плотности застройки участков территориальных зон»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земельного участка в промышленной зоне составляет 1,8.</w:t>
            </w:r>
          </w:p>
          <w:p>
            <w:pPr>
              <w:pStyle w:val="Normal"/>
              <w:spacing w:lineRule="auto" w:line="240" w:before="0" w:after="0"/>
              <w:ind w:firstLine="452"/>
              <w:jc w:val="both"/>
              <w:rPr>
                <w:rFonts w:ascii="Times New Roman" w:hAnsi="Times New Roman"/>
                <w:spacing w:val="-2"/>
                <w:sz w:val="24"/>
                <w:szCs w:val="24"/>
              </w:rPr>
            </w:pPr>
            <w:r>
              <w:rPr>
                <w:spacing w:val="-2"/>
                <w:sz w:val="24"/>
                <w:szCs w:val="24"/>
              </w:rPr>
              <w:t>Таким образом, предельные параметры разрешенного строительства на земельном участке составляют 1800 кв. м (1 000 кв. м х 1,8).</w:t>
            </w:r>
          </w:p>
          <w:p>
            <w:pPr>
              <w:pStyle w:val="Normal"/>
              <w:spacing w:lineRule="auto" w:line="240" w:before="0" w:after="0"/>
              <w:ind w:firstLine="452"/>
              <w:jc w:val="both"/>
              <w:rPr>
                <w:rFonts w:ascii="Times New Roman" w:hAnsi="Times New Roman"/>
                <w:sz w:val="24"/>
                <w:szCs w:val="24"/>
              </w:rPr>
            </w:pPr>
            <w:r>
              <w:rPr>
                <w:sz w:val="24"/>
                <w:szCs w:val="24"/>
              </w:rPr>
              <w:t xml:space="preserve">В соответствии с приложением Г «Площадь </w:t>
              <w:br/>
              <w:t xml:space="preserve">и размеры земельных участков складов» СП 42.13330.2016. Свод правил. Градостроительство. Планировка и застройка городских и сельских поселений. Актуализированная редакция СНиП 2.07.01-89* минимальная площадь склада (складов) на Участке составляет 293 кв. м для одноэтажных объектов капитального строительства, 442 кв. м </w:t>
            </w:r>
            <w:r>
              <w:rPr>
                <w:spacing w:val="-6"/>
                <w:sz w:val="24"/>
                <w:szCs w:val="24"/>
              </w:rPr>
              <w:t>для многоэтажных объектов капитального строительства.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3"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1"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По данным участкам проходят сети газораспределения.</w:t>
            </w:r>
          </w:p>
          <w:p>
            <w:pPr>
              <w:pStyle w:val="Normal"/>
              <w:spacing w:lineRule="auto" w:line="240" w:before="0" w:after="0"/>
              <w:ind w:firstLine="454"/>
              <w:jc w:val="both"/>
              <w:rPr>
                <w:rFonts w:ascii="Times New Roman" w:hAnsi="Times New Roman"/>
                <w:sz w:val="24"/>
                <w:szCs w:val="24"/>
              </w:rPr>
            </w:pPr>
            <w:r>
              <w:rPr>
                <w:sz w:val="24"/>
                <w:szCs w:val="24"/>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в соответствии с п.16 «Правил подключения…», утвержденных Постановлением правительства РФ от 30.09.2021 № 1547 в Пермский районный филиал АО «Газпром газораспределение Пермь» по адресу: г.Пермь, ул.Оверятская, 54 отдел «ЕЦПУ» тел: (342)220-02-30.</w:t>
            </w:r>
          </w:p>
          <w:p>
            <w:pPr>
              <w:pStyle w:val="Normal"/>
              <w:spacing w:lineRule="auto" w:line="240" w:before="0" w:after="0"/>
              <w:ind w:firstLine="454"/>
              <w:jc w:val="both"/>
              <w:rPr>
                <w:rFonts w:ascii="Times New Roman" w:hAnsi="Times New Roman"/>
                <w:sz w:val="24"/>
                <w:szCs w:val="24"/>
              </w:rPr>
            </w:pPr>
            <w:r>
              <w:rPr>
                <w:sz w:val="24"/>
                <w:szCs w:val="24"/>
              </w:rPr>
              <w:t>Проектирование и строительство учитывать ограничения, установленные постановлением Правительства Российской Федерации от 20.11.2000 № 878 «Об утверждении Правил охраны газораспределительных сетей».</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14.11.2024 № ПР-5228).</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4"/>
              <w:jc w:val="both"/>
              <w:rPr>
                <w:rFonts w:ascii="Times New Roman" w:hAnsi="Times New Roman"/>
                <w:sz w:val="24"/>
                <w:szCs w:val="24"/>
              </w:rPr>
            </w:pPr>
            <w:r>
              <w:rPr>
                <w:sz w:val="24"/>
                <w:szCs w:val="24"/>
              </w:rPr>
              <w:t>О наличии технической возможности подключения к централизованным системам холодного водоснабжения и водоотведения.</w:t>
            </w:r>
          </w:p>
          <w:p>
            <w:pPr>
              <w:pStyle w:val="Normal"/>
              <w:spacing w:lineRule="auto" w:line="240" w:before="0" w:after="0"/>
              <w:ind w:firstLine="452"/>
              <w:jc w:val="both"/>
              <w:rPr>
                <w:rFonts w:ascii="Times New Roman" w:hAnsi="Times New Roman"/>
                <w:sz w:val="24"/>
                <w:szCs w:val="24"/>
              </w:rPr>
            </w:pPr>
            <w:r>
              <w:rPr>
                <w:sz w:val="24"/>
                <w:szCs w:val="24"/>
              </w:rPr>
              <w:t>В районе Участка отсутствуют централизованные сети водоснабжения и водоотведения, эксплуатируемые ООО «Новогор-Прикамье».</w:t>
            </w:r>
          </w:p>
          <w:p>
            <w:pPr>
              <w:pStyle w:val="Normal"/>
              <w:spacing w:lineRule="auto" w:line="240" w:before="0" w:after="0"/>
              <w:ind w:firstLine="452"/>
              <w:jc w:val="both"/>
              <w:rPr>
                <w:rFonts w:ascii="Times New Roman" w:hAnsi="Times New Roman"/>
                <w:sz w:val="24"/>
                <w:szCs w:val="24"/>
              </w:rPr>
            </w:pPr>
            <w:r>
              <w:rPr>
                <w:sz w:val="24"/>
                <w:szCs w:val="24"/>
              </w:rPr>
              <w:t>Ближайшие сети водоснабжения и водоотведения, эксплуатируемые ООО «НОВОГОР-Прикамье», располагаются ориентировочно в радиусе – 3,9 км от Участка.</w:t>
            </w:r>
          </w:p>
          <w:p>
            <w:pPr>
              <w:pStyle w:val="Normal"/>
              <w:spacing w:lineRule="auto" w:line="240" w:before="0" w:after="0"/>
              <w:ind w:firstLine="452"/>
              <w:jc w:val="both"/>
              <w:rPr>
                <w:rFonts w:ascii="Times New Roman" w:hAnsi="Times New Roman"/>
                <w:sz w:val="24"/>
                <w:szCs w:val="24"/>
              </w:rPr>
            </w:pPr>
            <w:r>
              <w:rPr>
                <w:sz w:val="24"/>
                <w:szCs w:val="24"/>
              </w:rPr>
              <w:t>ООО «НОВОГОР-Прикамье» не располагает сведениями о наличии сетей 3-х лиц в границах Участка.</w:t>
            </w:r>
          </w:p>
          <w:p>
            <w:pPr>
              <w:pStyle w:val="Normal"/>
              <w:spacing w:lineRule="auto" w:line="240" w:before="0" w:after="0"/>
              <w:ind w:firstLine="452"/>
              <w:jc w:val="both"/>
              <w:rPr>
                <w:rFonts w:ascii="Times New Roman" w:hAnsi="Times New Roman"/>
                <w:sz w:val="24"/>
                <w:szCs w:val="24"/>
              </w:rPr>
            </w:pPr>
            <w:r>
              <w:rPr>
                <w:sz w:val="24"/>
                <w:szCs w:val="24"/>
              </w:rPr>
              <w:t>Победителю аукциона для получения информации возможности подключения Участка рекомендуется обратиться к правообладателям близлежащих сетей водоснабжения и водоотведения.</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06.11.2024 № 110-18157).</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Участок находится вне зоны теплоснабжения ПАО «Т Плюс».</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Пермские тепловые сети Филиал ПАО «Т Плюс»</w:t>
            </w:r>
            <w:r>
              <w:rPr>
                <w:sz w:val="24"/>
                <w:szCs w:val="24"/>
              </w:rPr>
              <w:t xml:space="preserve"> от 05.11.2024 № 51000-32-03884).</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 xml:space="preserve">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2-я Красавинская, д. 79), максимальную нагрузку в точке подключения (технологического присоединения) определить </w:t>
              <w:br/>
              <w:t>на стадии проектирования.</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ПАО «Ростелеком»</w:t>
            </w:r>
            <w:r>
              <w:rPr>
                <w:sz w:val="24"/>
                <w:szCs w:val="24"/>
              </w:rPr>
              <w:t xml:space="preserve"> от 05.11.2024 № 01/05/168200/24).</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color w:val="000000"/>
                <w:sz w:val="24"/>
                <w:szCs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на период до 2028 года предусмотрено строительство сетей водоснабжения и водоотведения.</w:t>
            </w:r>
          </w:p>
          <w:p>
            <w:pPr>
              <w:pStyle w:val="Normal"/>
              <w:spacing w:lineRule="auto" w:line="240" w:before="0" w:after="0"/>
              <w:ind w:firstLine="452"/>
              <w:jc w:val="both"/>
              <w:rPr>
                <w:rFonts w:ascii="Times New Roman" w:hAnsi="Times New Roman"/>
                <w:sz w:val="24"/>
                <w:szCs w:val="24"/>
              </w:rPr>
            </w:pPr>
            <w:r>
              <w:rPr>
                <w:sz w:val="24"/>
                <w:szCs w:val="24"/>
              </w:rPr>
              <w:t>(Аналогичная информация отражена в письме д</w:t>
            </w:r>
            <w:r>
              <w:rPr>
                <w:b/>
                <w:bCs/>
                <w:sz w:val="24"/>
                <w:szCs w:val="24"/>
              </w:rPr>
              <w:t xml:space="preserve">епартамента жилищно-коммунального хозяйства администрации города Перми </w:t>
            </w:r>
            <w:r>
              <w:rPr>
                <w:color w:val="000000"/>
                <w:sz w:val="24"/>
                <w:szCs w:val="24"/>
              </w:rPr>
              <w:t>от 08.11.2024 № 059-04-17/3-1114-ри</w:t>
            </w:r>
            <w:r>
              <w:rPr>
                <w:sz w:val="24"/>
                <w:szCs w:val="24"/>
              </w:rPr>
              <w:t>).</w:t>
            </w:r>
          </w:p>
          <w:p>
            <w:pPr>
              <w:pStyle w:val="Normal"/>
              <w:spacing w:lineRule="auto" w:line="240" w:before="0" w:after="0"/>
              <w:ind w:firstLine="452"/>
              <w:jc w:val="both"/>
              <w:rPr>
                <w:rFonts w:ascii="Times New Roman" w:hAnsi="Times New Roman"/>
                <w:sz w:val="24"/>
                <w:szCs w:val="24"/>
              </w:rPr>
            </w:pPr>
            <w:r>
              <w:rPr>
                <w:sz w:val="24"/>
                <w:szCs w:val="24"/>
              </w:rPr>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jc w:val="left"/>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3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w:t>
              <w:br/>
              <w:t xml:space="preserve">(далее – ЗК РФ), обязан до подписания договора уплатить ежегодный размер арендной платы, указанный в п. 4.2 договора (за вычетом задатка, внесенного для участия в аукционе) </w:t>
            </w:r>
            <w:r>
              <w:rPr>
                <w:b/>
                <w:bCs w:val="false"/>
                <w:color w:val="000000"/>
                <w:sz w:val="24"/>
                <w:szCs w:val="24"/>
                <w:shd w:fill="auto" w:val="clear"/>
              </w:rPr>
              <w:t>однократно за первые 3 года</w:t>
            </w:r>
            <w:r>
              <w:rPr>
                <w:b/>
                <w:bCs w:val="false"/>
                <w:color w:val="000000"/>
                <w:sz w:val="24"/>
                <w:szCs w:val="24"/>
              </w:rPr>
              <w:t xml:space="preserve"> </w:t>
            </w:r>
            <w:r>
              <w:rPr>
                <w:b w:val="false"/>
                <w:bCs w:val="false"/>
                <w:sz w:val="24"/>
                <w:szCs w:val="24"/>
              </w:rPr>
              <w:t xml:space="preserve">на счет департамента земельных отношений администрации города Перми, 614015, ул. Сибирская,15, 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3 к настоящему извещению)</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366 000 руб.</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18 300 руб.</w:t>
            </w:r>
          </w:p>
        </w:tc>
      </w:tr>
      <w:tr>
        <w:trPr>
          <w:trHeight w:val="41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1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4"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183 000 руб.</w:t>
            </w:r>
          </w:p>
          <w:p>
            <w:pPr>
              <w:pStyle w:val="Normal"/>
              <w:jc w:val="both"/>
              <w:rPr>
                <w:sz w:val="24"/>
                <w:szCs w:val="24"/>
              </w:rPr>
            </w:pPr>
            <w:r>
              <w:rPr>
                <w:sz w:val="24"/>
                <w:szCs w:val="24"/>
              </w:rPr>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103"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4 года 10 месяцев</w:t>
            </w:r>
          </w:p>
        </w:tc>
      </w:tr>
      <w:tr>
        <w:trPr>
          <w:trHeight w:val="18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103"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103"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6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b/>
          <w:bCs/>
        </w:rPr>
      </w:pPr>
      <w:r>
        <w:rPr>
          <w:b/>
          <w:bCs/>
          <w:lang w:val="en-US"/>
        </w:rPr>
        <w:t>Лот № 3</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 xml:space="preserve">а Перми </w:t>
            </w:r>
            <w:r>
              <w:rPr>
                <w:rFonts w:eastAsia="Droid Sans Fallback" w:cs="Lohit Devanagari"/>
                <w:color w:val="auto"/>
                <w:sz w:val="24"/>
                <w:szCs w:val="28"/>
                <w:lang w:val="ru-RU" w:eastAsia="zh-CN" w:bidi="ar-SA"/>
              </w:rPr>
              <w:t>от</w:t>
            </w:r>
            <w:r>
              <w:rPr>
                <w:rFonts w:eastAsia="Droid Sans Fallback" w:cs="Lohit Devanagari"/>
                <w:color w:val="auto"/>
                <w:sz w:val="28"/>
                <w:szCs w:val="28"/>
                <w:lang w:val="ru-RU" w:eastAsia="zh-CN" w:bidi="ar-SA"/>
              </w:rPr>
              <w:t xml:space="preserve"> </w:t>
            </w:r>
            <w:r>
              <w:rPr>
                <w:rFonts w:eastAsia="Droid Sans Fallback" w:cs="Lohit Devanagari"/>
                <w:color w:val="auto"/>
                <w:sz w:val="24"/>
                <w:szCs w:val="28"/>
                <w:lang w:val="ru-RU" w:eastAsia="zh-CN" w:bidi="ar-SA"/>
              </w:rPr>
              <w:t>10 июля 2025 г. № 21-01-03-5609 «О проведении аукциона на право заключения договора аренды земельного участка в Свердловском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rPr>
            </w:pPr>
            <w:r>
              <w:rPr>
                <w:sz w:val="24"/>
                <w:szCs w:val="24"/>
              </w:rPr>
              <w:t>Российская Федерация, Пермский край, городской округ Пермский, город Пермь, шоссе Космонавтов, з/у 27в</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1681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59:01:0000000:97270</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муниципальное образование город Пермь</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площадки для занятия спортом</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w:t>
            </w:r>
            <w:r>
              <w:rPr>
                <w:sz w:val="24"/>
                <w:szCs w:val="24"/>
                <w:highlight w:val="white"/>
              </w:rPr>
              <w:t>23.07.2025г. No КУВИ-001/2025-143885378</w:t>
            </w:r>
            <w:r>
              <w:rPr>
                <w:sz w:val="24"/>
                <w:szCs w:val="24"/>
              </w:rPr>
              <w:t xml:space="preserve"> (далее – ЕГРН);</w:t>
            </w:r>
          </w:p>
          <w:p>
            <w:pPr>
              <w:pStyle w:val="Normal"/>
              <w:ind w:firstLine="311"/>
              <w:jc w:val="both"/>
              <w:rPr>
                <w:sz w:val="24"/>
                <w:szCs w:val="24"/>
              </w:rPr>
            </w:pPr>
            <w:r>
              <w:rPr>
                <w:sz w:val="24"/>
                <w:szCs w:val="24"/>
              </w:rPr>
            </w:r>
          </w:p>
          <w:p>
            <w:pPr>
              <w:pStyle w:val="Normal"/>
              <w:spacing w:lineRule="auto" w:line="240" w:before="0" w:after="0"/>
              <w:ind w:firstLine="452"/>
              <w:jc w:val="both"/>
              <w:rPr>
                <w:rFonts w:ascii="Times New Roman" w:hAnsi="Times New Roman"/>
                <w:sz w:val="24"/>
                <w:szCs w:val="24"/>
                <w:highlight w:val="none"/>
              </w:rPr>
            </w:pPr>
            <w:r>
              <w:rPr>
                <w:sz w:val="24"/>
                <w:szCs w:val="24"/>
              </w:rPr>
              <w:t>Согласно сведениям, содержащимся в Едином государственном реестре недвижимости (далее – ЕГРН), Участок имеет связь с объектом капитального строительства с кадастровым номером 59:01:0000000:48616 - Иное сооружение (Электросетевой комплекс подстанция 110/35/6 кВ «Данилиха» с линиями электропередачи, трансформаторными подстанциями, распределительным пунктом, находится в собственности ОАО «МРСК Урала».</w:t>
            </w:r>
          </w:p>
          <w:p>
            <w:pPr>
              <w:pStyle w:val="Normal"/>
              <w:spacing w:lineRule="auto" w:line="240" w:before="0" w:after="0"/>
              <w:ind w:firstLine="452"/>
              <w:jc w:val="both"/>
              <w:rPr>
                <w:rFonts w:ascii="Times New Roman" w:hAnsi="Times New Roman"/>
                <w:sz w:val="24"/>
                <w:szCs w:val="24"/>
                <w:highlight w:val="none"/>
              </w:rPr>
            </w:pPr>
            <w:r>
              <w:rPr>
                <w:sz w:val="24"/>
                <w:szCs w:val="24"/>
              </w:rPr>
              <w:t>Согласно копии планшета М 1:500, требующего корректуры, в границах Участка расположены сети: электроснабжения, водоснабжения. Рельеф 1 учетного контура Участка частично спланирован, частично - покрытие ПГС, в границах 2 учетного контура частично - канава, щебеночное покрытие.</w:t>
            </w:r>
          </w:p>
          <w:p>
            <w:pPr>
              <w:pStyle w:val="Normal"/>
              <w:spacing w:lineRule="auto" w:line="240" w:before="0" w:after="0"/>
              <w:ind w:firstLine="452"/>
              <w:jc w:val="both"/>
              <w:rPr>
                <w:rFonts w:ascii="Times New Roman" w:hAnsi="Times New Roman"/>
                <w:sz w:val="24"/>
                <w:szCs w:val="24"/>
                <w:highlight w:val="none"/>
              </w:rPr>
            </w:pPr>
            <w:r>
              <w:rPr>
                <w:sz w:val="24"/>
                <w:szCs w:val="24"/>
              </w:rPr>
              <w:t>Размещение объектов необходимо предусматривать строго за пределами охранных зон сетей в соответствии с нормами СП 42.13330.2016 «Градостроительство планировка и застройка городских и сельских поселений», в том числе в соответствии с таблицей 12.5 СП 42.13330.2016 «Градостроительство планировка и застройка городских и сельских поселений»; учитывать нормы постановления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w:t>
              <w:br/>
              <w:t>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br/>
              <w:t>со статьей 39.36 Кодекса.</w:t>
            </w:r>
          </w:p>
          <w:p>
            <w:pPr>
              <w:pStyle w:val="Normal"/>
              <w:spacing w:lineRule="auto" w:line="240" w:before="0" w:after="0"/>
              <w:ind w:firstLine="311"/>
              <w:jc w:val="both"/>
              <w:rPr>
                <w:rFonts w:ascii="Times New Roman" w:hAnsi="Times New Roman"/>
                <w:sz w:val="24"/>
                <w:szCs w:val="24"/>
              </w:rPr>
            </w:pPr>
            <w:r>
              <w:rPr>
                <w:sz w:val="24"/>
                <w:szCs w:val="24"/>
              </w:rPr>
              <w:t xml:space="preserve">Учитывая, что сети электроснабжения могут размещаться на основании сервитута, публичного сервитута, в соответствии со статьей 39.36 Кодекса, наличие таких объектов на земельном участке </w:t>
              <w:br/>
              <w:t>не является основанием для отказа в предоставлении земельного участка на торгах и земельный участок может быть предметом аукциона.</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311"/>
              <w:jc w:val="both"/>
              <w:rPr/>
            </w:pPr>
            <w:r>
              <w:rPr>
                <w:sz w:val="24"/>
              </w:rPr>
              <w:t xml:space="preserve">В ходе визуального осмотра территории установлено, что самовольно возведенных объектов капитального строительства, незаконно размещенных движимых объектов, в отношении которых планируется организация сноса и демонтажа </w:t>
              <w:br/>
              <w:t>в установленном порядке, на указанной территории,</w:t>
              <w:br/>
              <w:t>не выявлено.</w:t>
            </w:r>
          </w:p>
          <w:p>
            <w:pPr>
              <w:pStyle w:val="Normal"/>
              <w:spacing w:lineRule="auto" w:line="240" w:before="0" w:after="0"/>
              <w:ind w:firstLine="311"/>
              <w:jc w:val="both"/>
              <w:rPr/>
            </w:pPr>
            <w:r>
              <w:rPr>
                <w:sz w:val="24"/>
              </w:rPr>
              <w:t>Ближайшие источники противопожарного водоснабжения (пожарные водоемы) расположены:</w:t>
            </w:r>
          </w:p>
          <w:p>
            <w:pPr>
              <w:pStyle w:val="Normal"/>
              <w:spacing w:lineRule="auto" w:line="240" w:before="0" w:after="0"/>
              <w:ind w:firstLine="311"/>
              <w:jc w:val="both"/>
              <w:rPr/>
            </w:pPr>
            <w:r>
              <w:rPr>
                <w:sz w:val="24"/>
              </w:rPr>
              <w:t>- ул. Мехоношина, 10 (со двора), характеристика сети К 100, водоотдача сети 2 л/с, собственник ООО «Новогор-Прикамье»;</w:t>
            </w:r>
          </w:p>
          <w:p>
            <w:pPr>
              <w:pStyle w:val="Normal"/>
              <w:spacing w:lineRule="auto" w:line="240" w:before="0" w:after="0"/>
              <w:ind w:firstLine="311"/>
              <w:jc w:val="both"/>
              <w:rPr/>
            </w:pPr>
            <w:r>
              <w:rPr>
                <w:sz w:val="24"/>
              </w:rPr>
              <w:t>- по ул. Мехоношина, 14 (от колонки 2-й колодец), характеристика сети К 200, водоотдача сети 2 л/с, собственник ООО «Новогор-Прикамье».</w:t>
            </w:r>
          </w:p>
          <w:p>
            <w:pPr>
              <w:pStyle w:val="Normal"/>
              <w:spacing w:lineRule="auto" w:line="240" w:before="0" w:after="0"/>
              <w:ind w:firstLine="452"/>
              <w:jc w:val="both"/>
              <w:rPr>
                <w:rFonts w:ascii="Times New Roman" w:hAnsi="Times New Roman"/>
                <w:sz w:val="24"/>
                <w:szCs w:val="24"/>
              </w:rPr>
            </w:pPr>
            <w:r>
              <w:rPr>
                <w:sz w:val="24"/>
                <w:szCs w:val="24"/>
              </w:rPr>
              <w:t>(Аналогичная информация отражена в письме а</w:t>
            </w:r>
            <w:r>
              <w:rPr>
                <w:b/>
                <w:sz w:val="24"/>
                <w:szCs w:val="24"/>
              </w:rPr>
              <w:t xml:space="preserve">дминистрации Свердловского района города Перми </w:t>
            </w:r>
            <w:r>
              <w:rPr>
                <w:sz w:val="24"/>
                <w:szCs w:val="24"/>
              </w:rPr>
              <w:t>от 03.07.2025 № 059-39-01-30/3-334).</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 xml:space="preserve">По сведениям, содержащимся в ЕГРН, справке </w:t>
              <w:br/>
              <w:t xml:space="preserve">по градостроительным условиям земельного участка </w:t>
              <w:br/>
              <w:t>от 23.07.2025 № 638691 Участок расположен в границах зон с особыми условиями использования территории:</w:t>
            </w:r>
          </w:p>
          <w:p>
            <w:pPr>
              <w:pStyle w:val="Normal"/>
              <w:spacing w:lineRule="auto" w:line="240" w:before="0" w:after="0"/>
              <w:ind w:firstLine="452"/>
              <w:jc w:val="both"/>
              <w:rPr>
                <w:rFonts w:ascii="Times New Roman" w:hAnsi="Times New Roman"/>
                <w:sz w:val="24"/>
                <w:szCs w:val="24"/>
              </w:rPr>
            </w:pPr>
            <w:r>
              <w:rPr>
                <w:sz w:val="24"/>
                <w:szCs w:val="24"/>
              </w:rPr>
              <w:t>в границах зоны с особыми условиями использования территории Охранная зона транспорта «Зона с особыми условиями использования - Приаэродромная территория аэродрома аэропорта Большое Савино», 59:32-6.553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452"/>
              <w:jc w:val="both"/>
              <w:rPr>
                <w:rFonts w:ascii="Times New Roman" w:hAnsi="Times New Roman"/>
                <w:sz w:val="24"/>
                <w:szCs w:val="24"/>
                <w:highlight w:val="none"/>
              </w:rPr>
            </w:pPr>
            <w:r>
              <w:rPr>
                <w:sz w:val="24"/>
                <w:szCs w:val="24"/>
              </w:rPr>
              <w:t>в границах зоны с особыми условиями использования территории ОХРАННАЯ ЗОНА КЛ 6 КВ Ф.ТРАНЗИТ №6 (ПС «ДАНИЛИХА»-РП-12, ПС «ДАНИЛИХА»-БКТП-5450 ВВОД 1,ПС"ДАНИЛИХА"-БКТП5450 ВВОД 2,Ф.КАМЧАТОВСКИЙ, Ф.ЕЛЬКИНА (ОТ РП-50), Ф.ТРАНЗИТ№35, Ф.КОМИНТЕРНА (ОТ РП-50), частично площадью 85 кв. м, 59:01-6.3311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452"/>
              <w:jc w:val="both"/>
              <w:rPr>
                <w:rFonts w:ascii="Times New Roman" w:hAnsi="Times New Roman"/>
                <w:sz w:val="24"/>
                <w:szCs w:val="24"/>
                <w:highlight w:val="none"/>
              </w:rPr>
            </w:pPr>
            <w:r>
              <w:rPr>
                <w:sz w:val="24"/>
                <w:szCs w:val="24"/>
              </w:rPr>
              <w:t>в границах зоны с особыми условиями использования территории Водоохранная зона бассейна р. Данилиха, 59:01-6.4993 (Приказ Министерства природных ресурсов, лесного хозяйства и экологии Пермского края № СЭД-30-01-02-1078 от 13.08.2013 «Об утверждении установленных границ водоохранных зон, границ прибрежных защитных полос и границ береговой полосы бассейна р. Данилиха»);</w:t>
            </w:r>
          </w:p>
          <w:p>
            <w:pPr>
              <w:pStyle w:val="Normal"/>
              <w:spacing w:lineRule="auto" w:line="240" w:before="0" w:after="0"/>
              <w:ind w:firstLine="452"/>
              <w:jc w:val="both"/>
              <w:rPr>
                <w:rFonts w:ascii="Times New Roman" w:hAnsi="Times New Roman"/>
                <w:sz w:val="24"/>
                <w:szCs w:val="24"/>
                <w:highlight w:val="none"/>
                <w14:ligatures w14:val="none"/>
              </w:rPr>
            </w:pPr>
            <w:r>
              <w:rPr>
                <w:sz w:val="24"/>
                <w:szCs w:val="24"/>
              </w:rPr>
              <w:t>в границах зоны с особыми условиями использования территории Прибрежная защитная полоса бассейна р. Данилиха, частично площадью 207 кв. м, 59:01-6.4991 (Приказ Министерства природных ресурсов, лесного хозяйства и экологии Пермского края № СЭД-30-01-02-1078 от 13.08.2013 «Об утверждении установленных границ водоохранных зон, границ прибрежных защитных полос и границ береговой полосы бассейна р. Данилиха»).</w:t>
            </w:r>
          </w:p>
          <w:p>
            <w:pPr>
              <w:pStyle w:val="Normal"/>
              <w:spacing w:lineRule="auto" w:line="240" w:before="0" w:after="0"/>
              <w:ind w:firstLine="452"/>
              <w:jc w:val="both"/>
              <w:rPr>
                <w:rFonts w:ascii="Times New Roman" w:hAnsi="Times New Roman"/>
                <w:b/>
                <w:bCs/>
                <w:sz w:val="24"/>
                <w:szCs w:val="24"/>
                <w:highlight w:val="none"/>
                <w14:ligatures w14:val="none"/>
              </w:rPr>
            </w:pPr>
            <w:r>
              <w:rPr>
                <w:b/>
                <w:bCs/>
                <w:sz w:val="24"/>
                <w:szCs w:val="24"/>
              </w:rPr>
              <w:t>Участок расположен в особо охраняемой природной территории «Долина реки Данилиха», границы и режим использования которой установлены постановлением правительства Пермского края от 21.12.2022 № 1129-п «О создании особо охраняемых природных территорий регионального значения - экологических парков «Долина реки Данилиха» и «Егошихинская долина»».</w:t>
            </w:r>
          </w:p>
          <w:p>
            <w:pPr>
              <w:pStyle w:val="Normal"/>
              <w:spacing w:lineRule="auto" w:line="240" w:before="0" w:after="0"/>
              <w:ind w:firstLine="452"/>
              <w:jc w:val="both"/>
              <w:rPr>
                <w:rFonts w:ascii="Times New Roman" w:hAnsi="Times New Roman"/>
                <w:b/>
                <w:bCs/>
                <w:sz w:val="24"/>
                <w:szCs w:val="24"/>
                <w:highlight w:val="none"/>
              </w:rPr>
            </w:pPr>
            <w:r>
              <w:rPr>
                <w:b/>
                <w:bCs/>
                <w:sz w:val="24"/>
                <w:szCs w:val="24"/>
              </w:rPr>
              <w:t>В отношении Участка документацией по планировке территории, утвержденной приказом Министерства по управлению имуществом и градостроительной деятельности Пермского края от 23.07.2024 № 31-02-1-4-1981, установлена зона «Территория встроенно-пристроенных детских садов».</w:t>
            </w:r>
          </w:p>
          <w:p>
            <w:pPr>
              <w:pStyle w:val="Normal"/>
              <w:spacing w:lineRule="auto" w:line="240" w:before="0" w:after="0"/>
              <w:ind w:firstLine="452"/>
              <w:jc w:val="both"/>
              <w:rPr>
                <w:rFonts w:ascii="Times New Roman" w:hAnsi="Times New Roman"/>
                <w:b/>
                <w:bCs/>
                <w:sz w:val="24"/>
                <w:szCs w:val="24"/>
                <w:highlight w:val="none"/>
              </w:rPr>
            </w:pPr>
            <w:r>
              <w:rPr>
                <w:b/>
                <w:bCs/>
                <w:sz w:val="24"/>
                <w:szCs w:val="24"/>
              </w:rPr>
            </w:r>
          </w:p>
          <w:p>
            <w:pPr>
              <w:pStyle w:val="Normal"/>
              <w:spacing w:lineRule="auto" w:line="240" w:before="0" w:after="0"/>
              <w:ind w:firstLine="283"/>
              <w:jc w:val="both"/>
              <w:rPr/>
            </w:pPr>
            <w:r>
              <w:rPr>
                <w:color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0" w:after="0"/>
              <w:ind w:firstLine="283"/>
              <w:jc w:val="both"/>
              <w:rPr/>
            </w:pPr>
            <w:r>
              <w:rPr>
                <w:color w:val="000000"/>
                <w:sz w:val="24"/>
                <w:szCs w:val="24"/>
              </w:rPr>
              <w:t>Для примыкания Участка к улично-дорожной сети города Перми необходимо выполнить мероприятия, указанные в настоящем письме.</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 xml:space="preserve">Дополнительно направляется информация </w:t>
              <w:br/>
              <w:t>о необходимости соблюдения Правил благоустройства территории города Перми, утвержденных решением Пермской городской Думы от 15.12.2020 № 277:</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 xml:space="preserve">поверхностный водоотвод решить проектом </w:t>
              <w:br/>
              <w:t xml:space="preserve">без подтопления смежных территорий, в соответствии </w:t>
              <w:br/>
              <w:t>с действующими нормативно-правовыми актами</w:t>
              <w:br/>
              <w:t>и природоохранным законодательством;</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предусмотреть электроосвещение территории объекта;</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предусмотреть устройство подъезда к Участку или ликвидацию разрушений, повреждений дорожного покрытия существующего проезда от границ Участка до существующей улично-дорожной сети, а так же наружное освещение подъезда.</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w:t>
              <w:br/>
              <w:t xml:space="preserve">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sz w:val="24"/>
                <w:szCs w:val="24"/>
              </w:rPr>
            </w:pPr>
            <w:r>
              <w:rPr>
                <w:sz w:val="24"/>
                <w:szCs w:val="24"/>
              </w:rPr>
              <w:t>(Аналогичная информация отражена в письме д</w:t>
            </w:r>
            <w:r>
              <w:rPr>
                <w:b/>
                <w:color w:val="000000"/>
                <w:sz w:val="24"/>
                <w:szCs w:val="24"/>
              </w:rPr>
              <w:t>епартамента дорог и благоустройства администрации города Перми</w:t>
            </w:r>
            <w:r>
              <w:rPr>
                <w:color w:val="000000"/>
                <w:sz w:val="24"/>
                <w:szCs w:val="24"/>
              </w:rPr>
              <w:t xml:space="preserve">  от 20.06.2025 № 059-24-01-36/3-2135</w:t>
            </w:r>
            <w:r>
              <w:rPr>
                <w:sz w:val="24"/>
                <w:szCs w:val="24"/>
              </w:rPr>
              <w:t>).</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283"/>
              <w:jc w:val="both"/>
              <w:rPr>
                <w:rFonts w:ascii="Times New Roman" w:hAnsi="Times New Roman"/>
                <w:color w:val="000000"/>
                <w:spacing w:val="-6"/>
                <w:sz w:val="24"/>
                <w:szCs w:val="24"/>
                <w:highlight w:val="none"/>
                <w14:ligatures w14:val="none"/>
              </w:rPr>
            </w:pPr>
            <w:r>
              <w:rPr>
                <w:color w:val="000000"/>
                <w:spacing w:val="-6"/>
                <w:sz w:val="24"/>
                <w:szCs w:val="24"/>
              </w:rPr>
              <w:t>Источники противопожарного водоснабжения (пожарные гидранты)  отсутствуют.</w:t>
            </w:r>
          </w:p>
          <w:p>
            <w:pPr>
              <w:pStyle w:val="Normal"/>
              <w:spacing w:lineRule="auto" w:line="240" w:before="0" w:after="0"/>
              <w:ind w:firstLine="283"/>
              <w:jc w:val="both"/>
              <w:rPr>
                <w:rFonts w:ascii="Times New Roman" w:hAnsi="Times New Roman"/>
                <w:color w:val="000000"/>
                <w:spacing w:val="-6"/>
                <w:sz w:val="24"/>
                <w:szCs w:val="24"/>
                <w14:ligatures w14:val="none"/>
              </w:rPr>
            </w:pPr>
            <w:r>
              <w:rPr>
                <w:color w:val="000000"/>
                <w:spacing w:val="-6"/>
                <w:sz w:val="24"/>
                <w:szCs w:val="24"/>
              </w:rPr>
              <w:t>При планировке и размещении объектов</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w:t>
              <w:br/>
              <w:t>от 30.03.2020 №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283"/>
              <w:jc w:val="both"/>
              <w:rPr>
                <w:rFonts w:ascii="Times New Roman" w:hAnsi="Times New Roman"/>
                <w:color w:val="000000"/>
                <w:spacing w:val="-6"/>
                <w:sz w:val="24"/>
                <w:szCs w:val="24"/>
                <w14:ligatures w14:val="none"/>
              </w:rPr>
            </w:pPr>
            <w:r>
              <w:rPr>
                <w:color w:val="000000"/>
                <w:spacing w:val="-6"/>
                <w:sz w:val="24"/>
                <w:szCs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Подразделение пожарной охраны находится по адресу: ул. Белинского, 52.</w:t>
            </w:r>
          </w:p>
          <w:p>
            <w:pPr>
              <w:pStyle w:val="Normal"/>
              <w:spacing w:lineRule="auto" w:line="240" w:before="0" w:after="0"/>
              <w:ind w:firstLine="283"/>
              <w:jc w:val="both"/>
              <w:rPr>
                <w:rFonts w:ascii="Times New Roman" w:hAnsi="Times New Roman"/>
                <w:color w:val="000000"/>
                <w:spacing w:val="-6"/>
                <w:sz w:val="24"/>
                <w:szCs w:val="24"/>
                <w14:ligatures w14:val="none"/>
              </w:rPr>
            </w:pPr>
            <w:r>
              <w:rPr>
                <w:color w:val="000000"/>
                <w:spacing w:val="-6"/>
                <w:sz w:val="24"/>
                <w:szCs w:val="24"/>
              </w:rPr>
              <w:t>Объект общественной безопасности, отнесенный</w:t>
              <w:br/>
              <w:t xml:space="preserve">к объектам полиции (участковые пункты полиции), </w:t>
              <w:br/>
              <w:t xml:space="preserve">в данном микрорайоне расположен по адресу: г. Пермь, </w:t>
              <w:br/>
              <w:t>ул. Механошина, 6 (микрорайон Громовский, Свердловский район).</w:t>
            </w:r>
          </w:p>
          <w:p>
            <w:pPr>
              <w:pStyle w:val="Normal"/>
              <w:spacing w:lineRule="auto" w:line="240" w:before="0" w:after="0"/>
              <w:ind w:firstLine="283"/>
              <w:jc w:val="both"/>
              <w:rPr>
                <w:rFonts w:ascii="Times New Roman" w:hAnsi="Times New Roman"/>
                <w:color w:val="000000"/>
                <w:spacing w:val="-6"/>
                <w:sz w:val="24"/>
                <w:szCs w:val="24"/>
                <w14:ligatures w14:val="none"/>
              </w:rPr>
            </w:pPr>
            <w:r>
              <w:rPr>
                <w:color w:val="000000"/>
                <w:spacing w:val="-6"/>
                <w:sz w:val="24"/>
                <w:szCs w:val="24"/>
              </w:rPr>
              <w:t>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283"/>
              <w:jc w:val="both"/>
              <w:rPr>
                <w:rFonts w:ascii="Times New Roman" w:hAnsi="Times New Roman"/>
                <w:color w:val="000000"/>
                <w:spacing w:val="-6"/>
                <w:sz w:val="24"/>
                <w:szCs w:val="24"/>
                <w14:ligatures w14:val="none"/>
              </w:rPr>
            </w:pPr>
            <w:r>
              <w:rPr>
                <w:color w:val="000000"/>
                <w:spacing w:val="-6"/>
                <w:sz w:val="24"/>
                <w:szCs w:val="24"/>
              </w:rPr>
              <w:t xml:space="preserve">По информации, предоставленной Министерством территориальной безопасности Пермского края (письмо </w:t>
              <w:br/>
              <w:t>от 07.10.2020 № 964с), Участок попадает в зону возможного химического заражения в особый период.</w:t>
            </w:r>
          </w:p>
          <w:p>
            <w:pPr>
              <w:pStyle w:val="Normal"/>
              <w:spacing w:lineRule="auto" w:line="240" w:before="0" w:after="0"/>
              <w:ind w:firstLine="283"/>
              <w:jc w:val="both"/>
              <w:rPr>
                <w:rFonts w:ascii="Times New Roman" w:hAnsi="Times New Roman"/>
                <w:color w:val="000000"/>
                <w:spacing w:val="-6"/>
                <w:sz w:val="24"/>
                <w:szCs w:val="24"/>
                <w14:ligatures w14:val="none"/>
              </w:rPr>
            </w:pPr>
            <w:r>
              <w:rPr>
                <w:color w:val="000000"/>
                <w:spacing w:val="-6"/>
                <w:sz w:val="24"/>
                <w:szCs w:val="24"/>
              </w:rPr>
              <w:t xml:space="preserve">Объекты общественной безопасности, отнесенные </w:t>
              <w:br/>
              <w:t>к объектам полиции (участковые пункты полиции)</w:t>
              <w:br/>
              <w:t>в данном микрорайоне отсутствуют. Ближайший участковый пункт расположен по адресу: город Пермь, ул. Экскаваторная, 57 (микрорайон Верхние Мулы, Индустриальный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283"/>
              <w:jc w:val="both"/>
              <w:rPr/>
            </w:pPr>
            <w:r>
              <w:rPr>
                <w:color w:val="000000"/>
                <w:spacing w:val="-6"/>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tabs>
                <w:tab w:val="clear" w:pos="708"/>
                <w:tab w:val="left" w:pos="1723" w:leader="none"/>
              </w:tabs>
              <w:spacing w:lineRule="auto" w:line="240" w:before="0" w:after="0"/>
              <w:ind w:firstLine="283"/>
              <w:jc w:val="both"/>
              <w:rPr/>
            </w:pPr>
            <w:r>
              <w:rPr>
                <w:color w:val="000000"/>
                <w:spacing w:val="-6"/>
                <w:sz w:val="24"/>
                <w:szCs w:val="24"/>
              </w:rPr>
              <w:t>Участок находится в зоне действия региональной системы оповещения населения города Перми, установленной по ул. Революции, 66 – 600 м.</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19.06.2025 № 059-10-01-27/3-1311</w:t>
            </w:r>
            <w:r>
              <w:rPr>
                <w:sz w:val="24"/>
                <w:szCs w:val="24"/>
              </w:rPr>
              <w:t>).</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283"/>
              <w:jc w:val="both"/>
              <w:rPr>
                <w:rFonts w:ascii="Times New Roman" w:hAnsi="Times New Roman"/>
                <w:color w:val="000000"/>
                <w:spacing w:val="-6"/>
                <w:sz w:val="24"/>
                <w:szCs w:val="24"/>
                <w:highlight w:val="none"/>
              </w:rPr>
            </w:pPr>
            <w:r>
              <w:rPr>
                <w:color w:val="000000"/>
                <w:spacing w:val="-6"/>
                <w:sz w:val="24"/>
                <w:szCs w:val="24"/>
              </w:rPr>
              <w:t>На Участке произрастает 2 дерева пород – боярышник 1 шт., клён ясенелистный 1 шт. Необходимо использовать Участок в соответствии с перечнем мероприятий по охране окружающей среды № 165 от 20.06.2025 (прилагается).</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color w:val="000000"/>
                <w:spacing w:val="-6"/>
                <w:sz w:val="24"/>
                <w:szCs w:val="24"/>
              </w:rPr>
              <w:t xml:space="preserve">управления по экологии и природопользования администрации города Перми </w:t>
            </w:r>
            <w:r>
              <w:rPr>
                <w:color w:val="000000"/>
                <w:spacing w:val="-6"/>
                <w:sz w:val="24"/>
                <w:szCs w:val="24"/>
              </w:rPr>
              <w:t>от 20.06.2025 № 059-33-01-10/3-371</w:t>
            </w:r>
            <w:r>
              <w:rPr>
                <w:sz w:val="24"/>
                <w:szCs w:val="24"/>
              </w:rPr>
              <w:t>).</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283"/>
              <w:jc w:val="both"/>
              <w:rPr>
                <w:rFonts w:ascii="Times New Roman" w:hAnsi="Times New Roman"/>
                <w:color w:val="000000"/>
                <w:spacing w:val="-6"/>
                <w:sz w:val="24"/>
                <w:szCs w:val="24"/>
                <w:highlight w:val="none"/>
              </w:rPr>
            </w:pPr>
            <w:r>
              <w:rPr>
                <w:color w:val="000000"/>
                <w:spacing w:val="-6"/>
                <w:sz w:val="24"/>
                <w:szCs w:val="24"/>
              </w:rPr>
              <w:t>Согласно сведениям ЕГРН на Участок зарегистрировано 05.05.2025 право собственности муниципального образования город Пермь.</w:t>
            </w:r>
          </w:p>
          <w:p>
            <w:pPr>
              <w:pStyle w:val="Normal"/>
              <w:spacing w:lineRule="auto" w:line="240" w:before="0" w:after="0"/>
              <w:ind w:firstLine="283"/>
              <w:jc w:val="both"/>
              <w:rPr/>
            </w:pPr>
            <w:r>
              <w:rPr>
                <w:color w:val="000000"/>
                <w:spacing w:val="-6"/>
                <w:sz w:val="24"/>
                <w:szCs w:val="24"/>
              </w:rPr>
              <w:t>Объекты недвижимого имущества, в том числе Участок в реестре муниципального имущества города Перми (далее – РМИ) не учитываются.</w:t>
            </w:r>
          </w:p>
          <w:p>
            <w:pPr>
              <w:pStyle w:val="Normal"/>
              <w:spacing w:lineRule="auto" w:line="240" w:before="0" w:after="0"/>
              <w:ind w:firstLine="452"/>
              <w:jc w:val="both"/>
              <w:rPr>
                <w:rFonts w:ascii="Times New Roman" w:hAnsi="Times New Roman"/>
                <w:sz w:val="24"/>
                <w:szCs w:val="24"/>
              </w:rPr>
            </w:pPr>
            <w:r>
              <w:rPr>
                <w:sz w:val="24"/>
                <w:szCs w:val="24"/>
              </w:rPr>
              <w:t xml:space="preserve">(Аналогичная информация отражена в письме </w:t>
            </w:r>
            <w:r>
              <w:rPr>
                <w:b/>
                <w:bCs/>
                <w:color w:val="000000"/>
                <w:spacing w:val="-6"/>
                <w:sz w:val="24"/>
                <w:szCs w:val="24"/>
              </w:rPr>
              <w:t>департамента имущественных отношений администрации города Перми</w:t>
            </w:r>
            <w:r>
              <w:rPr>
                <w:color w:val="000000"/>
                <w:spacing w:val="-6"/>
                <w:sz w:val="24"/>
                <w:szCs w:val="24"/>
              </w:rPr>
              <w:t xml:space="preserve"> от 25.06.2025 № 059-19-01-39/3-364</w:t>
            </w:r>
            <w:r>
              <w:rPr>
                <w:sz w:val="24"/>
                <w:szCs w:val="24"/>
              </w:rPr>
              <w:t>).</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283"/>
              <w:jc w:val="both"/>
              <w:rPr>
                <w:rFonts w:ascii="Times New Roman" w:hAnsi="Times New Roman"/>
                <w:color w:val="000000"/>
                <w:spacing w:val="-6"/>
                <w:sz w:val="24"/>
                <w:szCs w:val="24"/>
              </w:rPr>
            </w:pPr>
            <w:r>
              <w:rPr>
                <w:color w:val="000000"/>
                <w:spacing w:val="-6"/>
                <w:sz w:val="24"/>
                <w:szCs w:val="24"/>
              </w:rPr>
              <w:t xml:space="preserve">Согласно </w:t>
            </w:r>
            <w:r>
              <w:rPr>
                <w:b/>
                <w:color w:val="000000"/>
                <w:spacing w:val="-6"/>
                <w:sz w:val="24"/>
                <w:szCs w:val="24"/>
              </w:rPr>
              <w:t xml:space="preserve">протоколу заседания координационного совещания по обеспечению правопорядка в Пермском крае от 16.03.2022 №74-гс </w:t>
            </w:r>
            <w:r>
              <w:rPr>
                <w:color w:val="000000"/>
                <w:spacing w:val="-6"/>
                <w:sz w:val="24"/>
                <w:szCs w:val="24"/>
              </w:rPr>
              <w:t>для строительства объектов городской инфраструктуры (парков, скверов, торгово-развлекательных комплексов, иных зданий и сооружений) обязательным является условие по установке камер видеонаблюдения.</w:t>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hanging="0"/>
              <w:jc w:val="both"/>
              <w:rPr>
                <w:sz w:val="24"/>
                <w:szCs w:val="24"/>
                <w14:ligatures w14:val="none"/>
              </w:rPr>
            </w:pPr>
            <w:r>
              <w:rPr>
                <w:sz w:val="24"/>
                <w:szCs w:val="24"/>
              </w:rPr>
              <w:t>Строительство объектов капитального строительства</w:t>
              <w:br/>
              <w:t>не предусмотрено</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color w:val="auto"/>
                <w:sz w:val="24"/>
                <w:szCs w:val="24"/>
              </w:rPr>
            </w:pPr>
            <w:r>
              <w:rPr>
                <w:color w:val="auto"/>
                <w:sz w:val="24"/>
                <w:szCs w:val="24"/>
              </w:rPr>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hanging="0"/>
              <w:jc w:val="both"/>
              <w:rPr>
                <w:sz w:val="24"/>
                <w:szCs w:val="24"/>
                <w14:ligatures w14:val="none"/>
              </w:rPr>
            </w:pPr>
            <w:r>
              <w:rPr/>
              <w:t>Строительство объектов капитального строительства</w:t>
              <w:br/>
              <w:t>не предусмотрено</w:t>
            </w:r>
          </w:p>
          <w:p>
            <w:pPr>
              <w:pStyle w:val="Normal"/>
              <w:spacing w:lineRule="auto" w:line="240" w:before="0" w:after="0"/>
              <w:ind w:firstLine="311"/>
              <w:jc w:val="both"/>
              <w:rPr>
                <w:rFonts w:ascii="Times New Roman" w:hAnsi="Times New Roman"/>
                <w:color w:val="auto"/>
                <w:sz w:val="24"/>
                <w:szCs w:val="24"/>
              </w:rPr>
            </w:pPr>
            <w:r>
              <w:rPr>
                <w:color w:val="auto"/>
                <w:sz w:val="24"/>
                <w:szCs w:val="24"/>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jc w:val="left"/>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(Приложение 4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w:t>
              <w:br/>
              <w:t xml:space="preserve">(далее – ЗК РФ), обязан до подписания договора уплатить ежегодный размер арендной платы, указанный в п. 4.2 договора (за вычетом задатка, внесенного для участия в аукционе) </w:t>
            </w:r>
            <w:r>
              <w:rPr>
                <w:b/>
                <w:bCs w:val="false"/>
                <w:color w:val="000000"/>
                <w:sz w:val="24"/>
                <w:szCs w:val="24"/>
                <w:shd w:fill="auto" w:val="clear"/>
              </w:rPr>
              <w:t>однократно за первые 3 года</w:t>
            </w:r>
            <w:r>
              <w:rPr>
                <w:b/>
                <w:bCs w:val="false"/>
                <w:color w:val="000000"/>
                <w:sz w:val="24"/>
                <w:szCs w:val="24"/>
              </w:rPr>
              <w:t xml:space="preserve"> </w:t>
            </w:r>
            <w:r>
              <w:rPr>
                <w:b w:val="false"/>
                <w:bCs w:val="false"/>
                <w:sz w:val="24"/>
                <w:szCs w:val="24"/>
              </w:rPr>
              <w:t xml:space="preserve">на счет департамента земельных отношений администрации города Перми, 614015, ул. Сибирская,15, 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4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608 000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30 400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5"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304 000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15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является Приложением 4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95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23.08.2025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10.09.2025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11.09.2025.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12.09</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6"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23.08.2025 по 10.09.2025.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23.08.2025 по 10.09.2025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2-4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17"/>
      <w:headerReference w:type="first" r:id="rId18"/>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Segoe UI">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32</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abstractNum w:abstractNumId="4">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decimal"/>
      <w:lvlText w:val="%2."/>
      <w:lvlJc w:val="left"/>
      <w:pPr>
        <w:tabs>
          <w:tab w:val="num" w:pos="360"/>
        </w:tabs>
        <w:ind w:left="360" w:hanging="360"/>
      </w:pPr>
      <w:rPr>
        <w:sz w:val="24"/>
        <w:u w:val="none"/>
        <w:szCs w:val="24"/>
        <w:color w:val="000000"/>
        <w:lang w:val="ru-RU"/>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lang w:val="ru-RU"/>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rFonts w:eastAsia="Courier New"/>
        <w:lang w:bidi="ru-RU"/>
      </w:rPr>
    </w:lvl>
    <w:lvl w:ilvl="6">
      <w:start w:val="1"/>
      <w:numFmt w:val="decimal"/>
      <w:lvlText w:val="%7."/>
      <w:lvlJc w:val="left"/>
      <w:pPr>
        <w:tabs>
          <w:tab w:val="num" w:pos="5040"/>
        </w:tabs>
        <w:ind w:left="5040" w:hanging="360"/>
      </w:pPr>
      <w:rPr>
        <w:rFonts w:eastAsia="Calibri"/>
        <w:lang w:eastAsia="en-US"/>
      </w:rPr>
    </w:lvl>
    <w:lvl w:ilvl="7">
      <w:start w:val="1"/>
      <w:numFmt w:val="decimal"/>
      <w:lvlText w:val="%8."/>
      <w:lvlJc w:val="left"/>
      <w:pPr>
        <w:tabs>
          <w:tab w:val="num" w:pos="5760"/>
        </w:tabs>
        <w:ind w:left="5760" w:hanging="360"/>
      </w:pPr>
      <w:rPr>
        <w:bCs/>
        <w:lang w:eastAsia="en-US" w:bidi="ru-RU"/>
      </w:rPr>
    </w:lvl>
    <w:lvl w:ilvl="8">
      <w:start w:val="1"/>
      <w:numFmt w:val="decimal"/>
      <w:lvlText w:val="%9."/>
      <w:lvlJc w:val="left"/>
      <w:pPr>
        <w:tabs>
          <w:tab w:val="num" w:pos="6480"/>
        </w:tabs>
        <w:ind w:left="6480" w:hanging="360"/>
      </w:pPr>
      <w:rPr>
        <w:sz w:val="24"/>
        <w:u w:val="single"/>
        <w:szCs w:val="24"/>
        <w:color w:val="0000FF"/>
        <w:lang w:val="en-US"/>
      </w:rPr>
    </w:lvl>
  </w:abstractNum>
  <w:abstractNum w:abstractNumId="5">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single"/>
        <w:szCs w:val="24"/>
        <w:color w:val="0000FF"/>
        <w:lang w:val="en-US"/>
      </w:rPr>
    </w:lvl>
    <w:lvl w:ilvl="2">
      <w:start w:val="1"/>
      <w:numFmt w:val="bullet"/>
      <w:lvlText w:val="§"/>
      <w:lvlJc w:val="left"/>
      <w:pPr>
        <w:tabs>
          <w:tab w:val="num" w:pos="0"/>
        </w:tabs>
        <w:ind w:left="2160" w:hanging="360"/>
      </w:pPr>
      <w:rPr>
        <w:rFonts w:ascii="Wingdings" w:hAnsi="Wingdings" w:cs="Wingdings" w:hint="default"/>
        <w:sz w:val="24"/>
        <w:u w:val="single"/>
        <w:szCs w:val="24"/>
        <w:color w:val="0000FF"/>
      </w:rPr>
    </w:lvl>
    <w:lvl w:ilvl="3">
      <w:start w:val="1"/>
      <w:numFmt w:val="bullet"/>
      <w:lvlText w:val="·"/>
      <w:lvlJc w:val="left"/>
      <w:pPr>
        <w:tabs>
          <w:tab w:val="num" w:pos="0"/>
        </w:tabs>
        <w:ind w:left="2880" w:hanging="360"/>
      </w:pPr>
      <w:rPr>
        <w:rFonts w:ascii="Symbol" w:hAnsi="Symbol" w:cs="Symbol" w:hint="default"/>
        <w:sz w:val="24"/>
        <w:szCs w:val="24"/>
        <w:color w:val="000000"/>
      </w:rPr>
    </w:lvl>
    <w:lvl w:ilvl="4">
      <w:start w:val="1"/>
      <w:numFmt w:val="bullet"/>
      <w:lvlText w:val="o"/>
      <w:lvlJc w:val="left"/>
      <w:pPr>
        <w:tabs>
          <w:tab w:val="num" w:pos="0"/>
        </w:tabs>
        <w:ind w:left="3600" w:hanging="360"/>
      </w:pPr>
      <w:rPr>
        <w:rFonts w:ascii="Courier New" w:hAnsi="Courier New" w:cs="Courier New" w:hint="default"/>
        <w:sz w:val="24"/>
        <w:szCs w:val="24"/>
        <w:lang w:val="en-US"/>
      </w:rPr>
    </w:lvl>
    <w:lvl w:ilvl="5">
      <w:start w:val="1"/>
      <w:numFmt w:val="bullet"/>
      <w:lvlText w:val="§"/>
      <w:lvlJc w:val="left"/>
      <w:pPr>
        <w:tabs>
          <w:tab w:val="num" w:pos="0"/>
        </w:tabs>
        <w:ind w:left="4320" w:hanging="360"/>
      </w:pPr>
      <w:rPr>
        <w:rFonts w:ascii="Wingdings" w:hAnsi="Wingdings" w:cs="Wingdings" w:hint="default"/>
        <w:b/>
        <w:bCs/>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character" w:styleId="Style19">
    <w:name w:val="Основной текст Знак"/>
    <w:qFormat/>
    <w:rPr>
      <w:rFonts w:ascii="Courier New" w:hAnsi="Courier New" w:cs="Courier New"/>
      <w:sz w:val="26"/>
    </w:rPr>
  </w:style>
  <w:style w:type="character" w:styleId="Style20">
    <w:name w:val="Текст выноски Знак"/>
    <w:qFormat/>
    <w:rPr>
      <w:rFonts w:ascii="Segoe UI" w:hAnsi="Segoe UI" w:cs="Segoe UI"/>
      <w:sz w:val="18"/>
      <w:szCs w:val="18"/>
    </w:rPr>
  </w:style>
  <w:style w:type="character" w:styleId="Style21">
    <w:name w:val="Основной шрифт абзаца"/>
    <w:qFormat/>
    <w:rPr/>
  </w:style>
  <w:style w:type="character" w:styleId="WW8Num1z0">
    <w:name w:val="WW8Num1z0"/>
    <w:qFormat/>
    <w:rPr/>
  </w:style>
  <w:style w:type="paragraph" w:styleId="Style2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3">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22"/>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4"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5"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32">
    <w:name w:val="Основной текст с отступом 3"/>
    <w:basedOn w:val="Normal"/>
    <w:qFormat/>
    <w:pPr>
      <w:widowControl/>
      <w:spacing w:before="0" w:after="120"/>
      <w:ind w:left="283"/>
      <w:jc w:val="left"/>
    </w:pPr>
    <w:rPr>
      <w:color w:val="auto"/>
      <w:sz w:val="16"/>
      <w:szCs w:val="16"/>
      <w:lang w:val="ru-RU" w:eastAsia="zh-CN" w:bidi="ar-SA"/>
    </w:rPr>
  </w:style>
  <w:style w:type="paragraph" w:styleId="Style28">
    <w:name w:val="Форма"/>
    <w:qFormat/>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zh-CN" w:bidi="ar-SA"/>
    </w:rPr>
  </w:style>
  <w:style w:type="paragraph" w:styleId="Style29">
    <w:name w:val="Текст выноски"/>
    <w:basedOn w:val="Normal"/>
    <w:qFormat/>
    <w:pPr>
      <w:widowControl/>
      <w:spacing w:before="0" w:after="0"/>
      <w:jc w:val="left"/>
    </w:pPr>
    <w:rPr>
      <w:rFonts w:ascii="Segoe UI" w:hAnsi="Segoe UI" w:cs="Segoe UI"/>
      <w:color w:val="auto"/>
      <w:sz w:val="18"/>
      <w:szCs w:val="18"/>
      <w:lang w:val="en-US" w:eastAsia="zh-CN" w:bidi="ar-SA"/>
    </w:rPr>
  </w:style>
  <w:style w:type="paragraph" w:styleId="Style30">
    <w:name w:val="Название объекта"/>
    <w:basedOn w:val="Normal"/>
    <w:qFormat/>
    <w:pPr>
      <w:widowControl w:val="false"/>
      <w:spacing w:lineRule="exact" w:line="360" w:before="0" w:after="0"/>
      <w:jc w:val="center"/>
    </w:pPr>
    <w:rPr>
      <w:b/>
      <w:color w:val="auto"/>
      <w:sz w:val="32"/>
      <w:lang w:val="ru-RU" w:eastAsia="zh-CN" w:bidi="ar-SA"/>
    </w:rPr>
  </w:style>
  <w:style w:type="paragraph" w:styleId="Caption1111">
    <w:name w:val="Caption1111"/>
    <w:basedOn w:val="Normal"/>
    <w:qFormat/>
    <w:pPr>
      <w:widowControl/>
      <w:spacing w:before="120" w:after="120"/>
      <w:jc w:val="left"/>
    </w:pPr>
    <w:rPr>
      <w:rFonts w:cs="Lohit Devanagari"/>
      <w:i/>
      <w:iCs/>
      <w:color w:val="auto"/>
      <w:sz w:val="24"/>
      <w:szCs w:val="24"/>
      <w:lang w:val="ru-RU" w:eastAsia="zh-CN" w:bidi="ar-SA"/>
    </w:rPr>
  </w:style>
  <w:style w:type="paragraph" w:styleId="Caption111">
    <w:name w:val="Caption111"/>
    <w:basedOn w:val="Normal"/>
    <w:qFormat/>
    <w:pPr>
      <w:widowControl/>
      <w:spacing w:before="120" w:after="120"/>
      <w:jc w:val="left"/>
    </w:pPr>
    <w:rPr>
      <w:rFonts w:cs="Lohit Devanagari"/>
      <w:i/>
      <w:iCs/>
      <w:color w:val="auto"/>
      <w:sz w:val="24"/>
      <w:szCs w:val="24"/>
      <w:lang w:val="ru-RU" w:eastAsia="zh-CN" w:bidi="ar-SA"/>
    </w:rPr>
  </w:style>
  <w:style w:type="paragraph" w:styleId="Caption11">
    <w:name w:val="Caption11"/>
    <w:basedOn w:val="Normal"/>
    <w:qFormat/>
    <w:pPr>
      <w:widowControl/>
      <w:spacing w:before="120" w:after="120"/>
      <w:jc w:val="left"/>
    </w:pPr>
    <w:rPr>
      <w:rFonts w:cs="Lohit Devanagari"/>
      <w:i/>
      <w:iCs/>
      <w:color w:val="auto"/>
      <w:sz w:val="24"/>
      <w:szCs w:val="24"/>
      <w:lang w:val="ru-RU" w:eastAsia="zh-CN" w:bidi="ar-SA"/>
    </w:rPr>
  </w:style>
  <w:style w:type="numbering" w:styleId="NoList" w:default="1">
    <w:name w:val="No List"/>
    <w:uiPriority w:val="99"/>
    <w:semiHidden/>
    <w:unhideWhenUsed/>
    <w:qFormat/>
  </w:style>
  <w:style w:type="table" w:styleId="832">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3">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4">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3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36">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37">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38">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39">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40">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41">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42">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43">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44">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45">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46">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47">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48">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49">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50">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51">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52">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53">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4">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5">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6">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7">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8">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9">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0">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61">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62">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63">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64">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65">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66">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67">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68">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69">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70">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71">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72">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73">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74">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75">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76">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77">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78">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79">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0">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1">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82">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83">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84">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85">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86">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87">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88">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89">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90">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91">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92">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93">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94">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95">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96">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97">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98">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99">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00">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01">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02">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03">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4">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05">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06">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07">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08">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09">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10">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11">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12">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13">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14">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15">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16">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17">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18">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19">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20">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21">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22">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23">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24">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25">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26">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27">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28">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29">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30">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31">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32">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33">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34">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35">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36">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37">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8">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9">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0">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1">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2">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43">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4">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45">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46">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7">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8">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9">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50">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51">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52">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53">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54">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55">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56">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57">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58">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mailto:post@pf.ugaz.ru" TargetMode="External"/><Relationship Id="rId11" Type="http://schemas.openxmlformats.org/officeDocument/2006/relationships/hyperlink" Target="mailto:perm-mail@ural.rt.ru" TargetMode="External"/><Relationship Id="rId12" Type="http://schemas.openxmlformats.org/officeDocument/2006/relationships/hyperlink" Target="http://www.torgi.gov.ru/" TargetMode="External"/><Relationship Id="rId13" Type="http://schemas.openxmlformats.org/officeDocument/2006/relationships/hyperlink" Target="http://www.gorodperm.ru/" TargetMode="External"/><Relationship Id="rId14" Type="http://schemas.openxmlformats.org/officeDocument/2006/relationships/hyperlink" Target="http://www.torgi.gov.ru/" TargetMode="External"/><Relationship Id="rId15" Type="http://schemas.openxmlformats.org/officeDocument/2006/relationships/hyperlink" Target="http://www.torgi.gov.ru/" TargetMode="External"/><Relationship Id="rId16" Type="http://schemas.openxmlformats.org/officeDocument/2006/relationships/hyperlink" Target="http://utp.sberbank-ast.ru/AP/Notice/653/Requisites"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140</TotalTime>
  <Application>LibreOffice/7.6.7.2$Linux_X86_64 LibreOffice_project/60$Build-2</Application>
  <AppVersion>15.0000</AppVersion>
  <Pages>32</Pages>
  <Words>9727</Words>
  <Characters>70465</Characters>
  <CharactersWithSpaces>79891</CharactersWithSpaces>
  <Paragraphs>474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Tatyannikova</dc:creator>
  <dc:description/>
  <dc:language>ru-RU</dc:language>
  <cp:lastModifiedBy/>
  <dcterms:modified xsi:type="dcterms:W3CDTF">2025-08-18T16:10:50Z</dcterms:modified>
  <cp:revision>253</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