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20.08.2025 № 059-19-01-11-118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09.10.2025 электронного аукциона на право заключения договора аренды 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на право заключения договора аренды земельного участка (далее – аукцион) проводится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0"/>
          <w:szCs w:val="24"/>
        </w:rPr>
        <w:t xml:space="preserve"> </w:t>
      </w:r>
      <w:r>
        <w:rPr>
          <w:bCs/>
          <w:sz w:val="24"/>
          <w:szCs w:val="28"/>
        </w:rPr>
        <w:t>20.08.2025 № 059-19-01-11-118.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PlainText"/>
        <w:spacing w:lineRule="exact" w:line="240"/>
        <w:ind w:hanging="1134" w:left="1134"/>
        <w:jc w:val="left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распоряжения начальника департамента земельных отношений администрации города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Перми от 06 августа 2025 г. № 21-01-03-6319             «О проведении аукциона на право заключения договора аренды земельного участка в Индустриальном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1-я Красавинская, з/у 10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59:01:4613895:211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/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14.08.2025г. No КУВИ-001/2025-156104926</w:t>
            </w:r>
            <w:r>
              <w:rPr>
                <w:color w:val="auto"/>
                <w:sz w:val="24"/>
                <w:szCs w:val="24"/>
              </w:rPr>
              <w:t xml:space="preserve"> (далее – ЕГРН)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</w:t>
            </w:r>
            <w:r>
              <w:rPr>
                <w:sz w:val="24"/>
                <w:highlight w:val="white"/>
              </w:rPr>
              <w:t>.06.2025 № РФ-59-2-03-0-00-2025-1294-0</w:t>
            </w:r>
            <w:r>
              <w:rPr>
                <w:color w:val="auto"/>
                <w:sz w:val="24"/>
                <w:szCs w:val="24"/>
              </w:rPr>
              <w:t xml:space="preserve"> (далее – ГПЗУ)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 и копией планшета М 1:500 (требуется корректировка) объекты капитального/некапитального строительства на территории Участка отсутствуют.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не огорожен, произрастают зеленые насаждения, деревья, кустарники.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относительно испрашиваемого земельного участка расположены по адресу: г. Пермь, пересечение улиц 2-я Урожайная и 1-я Красавинская (пожарный гидрант). Собственник (гарантирующая организация) ООО «Новогор – Прикамье».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администрации Индустриального района города Перми</w:t>
            </w:r>
            <w:r>
              <w:rPr>
                <w:sz w:val="24"/>
                <w:szCs w:val="24"/>
                <w:highlight w:val="white"/>
              </w:rPr>
              <w:t xml:space="preserve"> от 05.08.2025 № 059-16-01-07/3-1600, в акте обследования от 01.08.2025 № 42).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14.08.2025 № 641817, Участок расположен в границах зон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частично охранная зона газопровода высокого </w:t>
              <w:br/>
              <w:t>и низкого давления по ул. В-Муллинская, 1-я, 2-я Красавинская, 1-я, 2-я, 3-я Урожайная, Ш. Космонавтов, Открытая, Пойменная, пер. Верхнемуллинский, ул. 2-я Пыжевская, г. Перми. Реестровый номер 59:01-6.3418, площадью 229 кв.м;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полностью риаэродромная территория аэродрома аэропорта Большое Савино. Реестровый номер 59:32-6.553, площадью 797 кв.м.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вести </w:t>
              <w:br/>
              <w:t>в соответствии: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</w:rPr>
              <w:t>с постановлением Правительства РФ от 20 ноября 2000 № 878 «Об утверждении Правил охраны газораспределительных сетей»;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pacing w:val="0"/>
                <w:sz w:val="24"/>
                <w:szCs w:val="24"/>
              </w:rPr>
              <w:t xml:space="preserve">с постановлением Правительства РФ от 11.03.2010 </w:t>
              <w:br/>
              <w:t>№ 138 «Об утверждении Федеральных правил использования воздушного пространства Российской Федерации».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0"/>
                <w:sz w:val="24"/>
                <w:szCs w:val="24"/>
                <w:highlight w:val="none"/>
              </w:rPr>
            </w:pPr>
            <w:r>
              <w:rPr>
                <w:spacing w:val="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Участке произрастает 21 дерево – черемуха 3 шт., клен ясенелистный 18 шт. Средняя стоимость в ценах 2025 года одного дерева лиственной породы от 25 тыс. руб., </w:t>
              <w:br/>
              <w:t>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03.06.2025 № 140 (прилагается).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03.06.2025 № 059-33-01-10/3-310).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Муниципальной программой «Дорожная деятельность </w:t>
              <w:br/>
              <w:t xml:space="preserve">и благоустройство города Перми», утвержденной постановлением администрации города Перми </w:t>
              <w:br/>
              <w:t xml:space="preserve">от 18.10.2024 № 966, на период 2025-2029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  <w:highlight w:val="white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>от 15.12.2020 № 277 «Об утверждении правил благоустройства территории города Перми»,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highlight w:val="white"/>
              </w:rPr>
            </w:pP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В соответствии с Федеральным законом от 08.11.2007 № 257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eastAsia="Times New Roman" w:cs="Times New Roman"/>
                <w:color w:val="000000"/>
                <w:sz w:val="24"/>
                <w:highlight w:val="white"/>
              </w:rPr>
              <w:t xml:space="preserve">, расходы на строительства,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 xml:space="preserve">департамента дорог и </w:t>
            </w:r>
            <w:r>
              <w:rPr>
                <w:b/>
                <w:sz w:val="24"/>
                <w:szCs w:val="24"/>
                <w:highlight w:val="white"/>
              </w:rPr>
              <w:t>благоустройства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29.05.2025 № 059-24-01-36/3-1829).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 xml:space="preserve">Источники противопожарного водоснабжения </w:t>
              <w:br/>
              <w:t>на указанной территории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отсутствуют.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 xml:space="preserve">Информация о подразделениях пожарной охраны </w:t>
              <w:br/>
              <w:t>и времени их прибытия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 xml:space="preserve">содержится в «Расписании выезда подразделений Пермского местного пожарно-спасательного гарнизона для тушения пожаров </w:t>
              <w:br/>
              <w:t xml:space="preserve">и проведения аварийно-спасательных работ </w:t>
              <w:br/>
              <w:t>на территории Пермского городского округа, Пермского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 xml:space="preserve">Подразделение пожарной охраны расположено </w:t>
              <w:br/>
              <w:t>по адресу: ул. Василия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Каменского, 2 (ПСЧ -4 10-ПСО).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Помещения для аварийно-спасательных формирований на указанной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территории отсутствуют.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В указанном мкр. Верхние Муллы, Индустриального р-на объекты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 xml:space="preserve">общественной безопасности, отнесенные </w:t>
              <w:br/>
              <w:t>к объектам полиции (участковые пункты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полиции), находятся по адресу г. Пермь, ул. Шоссе Экскаваторная, д. 57.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Участковый пункт полиции не соответствует требованиям предъявляемые 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участковым пунктам полиции. С учетом активной застройки, увеличения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населения данного микрорайона и при размещении объектов строительства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многоквартирных жилых домов, необходимо предусмотреть помещения под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участковые пункты полиции. В соответствии со Сводом правил СП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500.1325800.2018 «Здания полиции. Правила проектирования», утвержденным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приказом Министерства строительства и жилищно-коммунального хозяйства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Российской Федерации от 17.01.2018 N 19/пр, площадь кабинета участкового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>уполномоченного полиции составляет 12 м2 (приложение Г, таблица И1).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14:ligatures w14:val="none"/>
              </w:rPr>
              <w:t>По информации, предоставленной письмом Министерства территориальной безопасности Пермского края от 07.10.2020 № 964с,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zCs w:val="24"/>
                <w14:ligatures w14:val="none"/>
              </w:rPr>
              <w:t>Данная территория находится в зоне действия региональной автоматизированной системы централизованного оповещения населения города Перми, установленной по адресу: ул. 2-я Казанцевская, д. 3 –1500 метров.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29.05.2025 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>059-10-01-27/3-1146</w:t>
            </w:r>
            <w:r>
              <w:rPr>
                <w:sz w:val="24"/>
                <w:szCs w:val="24"/>
                <w:highlight w:val="white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  <w:br/>
              <w:t>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>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общей комнаты в доме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>в градостроительном плане земельного участка от 06.06.2025 № РФ-59-2-03-0-00-2025-1294-0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40%.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С уведомлением о планируемом строительстве жилого дома рекомендуется обратиться </w:t>
              <w:br/>
              <w:t>в уполномоченный орган администрации города Перми.</w:t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возможности подключения (технологического присоединения) к сетям электроснабжения объекта капитального строительства присоединяемой мощностью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        <w:br/>
              <w:t xml:space="preserve">а также объектов электросетевого хозяйства, принадлежащих сетевым организациям и иным лицам, </w:t>
              <w:br/>
              <w:t>к электрическим сетям», утвержденными постановлением Правительства Российской Федерации от 27.12.2004 № 861 (далее-Правила ТП).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Для</w:t>
            </w:r>
            <w:r>
              <w:rPr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z w:val="24"/>
                <w:szCs w:val="24"/>
                <w:highlight w:val="white"/>
              </w:rPr>
              <w:t xml:space="preserve">ПAO </w:t>
            </w:r>
            <w:r>
              <w:rPr>
                <w:color w:val="1A1A1A"/>
                <w:sz w:val="24"/>
                <w:szCs w:val="24"/>
                <w:highlight w:val="white"/>
              </w:rPr>
              <w:t xml:space="preserve">«Россети </w:t>
            </w:r>
            <w:r>
              <w:rPr>
                <w:sz w:val="24"/>
                <w:szCs w:val="24"/>
                <w:highlight w:val="white"/>
              </w:rPr>
              <w:t xml:space="preserve">Урал» — «Пермэнерго» соответствующую заявку </w:t>
              <w:br/>
              <w:t xml:space="preserve">на технологическое присоединение с указанием сведений и приложением необходимых документов </w:t>
              <w:br/>
            </w:r>
            <w:r>
              <w:rPr>
                <w:color w:val="0F0F0F"/>
                <w:sz w:val="24"/>
                <w:szCs w:val="24"/>
                <w:highlight w:val="white"/>
              </w:rPr>
              <w:t xml:space="preserve">в </w:t>
            </w:r>
            <w:r>
              <w:rPr>
                <w:sz w:val="24"/>
                <w:szCs w:val="24"/>
                <w:highlight w:val="white"/>
              </w:rPr>
              <w:t>соответствии с Правилами TП.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Заявку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на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технологическое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присоединение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можно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подать</w:t>
            </w:r>
            <w:r>
              <w:rPr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через единый</w:t>
            </w:r>
            <w:r>
              <w:rPr>
                <w:spacing w:val="65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портал электросетевых услуг группы компаний </w:t>
            </w:r>
            <w:r>
              <w:rPr>
                <w:color w:val="1A1A1A"/>
                <w:sz w:val="24"/>
                <w:szCs w:val="24"/>
                <w:highlight w:val="white"/>
              </w:rPr>
              <w:t>«Россети</w:t>
            </w:r>
            <w:r>
              <w:rPr>
                <w:sz w:val="24"/>
                <w:szCs w:val="24"/>
              </w:rPr>
              <w:t xml:space="preserve">» на сайте: hhtps://портал-тп.рф, через Мобильное приложение ПАО </w:t>
            </w:r>
            <w:r>
              <w:rPr>
                <w:color w:val="1A1A1A"/>
                <w:sz w:val="24"/>
                <w:szCs w:val="24"/>
                <w:highlight w:val="white"/>
              </w:rPr>
              <w:t>«Россети</w:t>
            </w:r>
            <w:r>
              <w:rPr>
                <w:sz w:val="24"/>
                <w:szCs w:val="24"/>
              </w:rPr>
              <w:t>» или при очном приеме в Центре обслуживания клиентов филиала «Россети Урал» - «Пермэнерго» по адресу: 614016, г.Пермь, ул.Камчатовская, 26.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  <w:highlight w:val="white"/>
              </w:rPr>
              <w:t>от 10.06.2025 № ПЭ/ПГЭС/01/01/6942).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 xml:space="preserve">/час </w:t>
              <w:br/>
              <w:t>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</w:t>
              <w:br/>
              <w:t xml:space="preserve">с приложением необходимых документов </w:t>
              <w:br/>
              <w:t xml:space="preserve">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</w:t>
              <w:br/>
              <w:t>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либо почтовым отправлением по адресу: г. Пермь, ул. Уральская, 104, через Единый центр предоставления услуг по адресу:</w:t>
              <w:br/>
              <w:t xml:space="preserve">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z w:val="24"/>
                <w:szCs w:val="24"/>
                <w:highlight w:val="white"/>
              </w:rPr>
              <w:t>от 02.06.2025 № ПФ-3711).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Ближайшие сети водоснабжения, эксплуатируемые ООО «НОВОГОР-Прикамье», располагаются </w:t>
              <w:br/>
              <w:t xml:space="preserve">на пересечении ул. 6-я Ипподромная – шоссе Космонавтов, ориентировочно на расстоянии – более </w:t>
              <w:br/>
              <w:t>2,0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Ближайшие сети водоотведения, эксплуатируемые ООО «НОВОГОР-Прикамье», располагаются </w:t>
              <w:br/>
              <w:t xml:space="preserve">на пересечении ул. 5-я Ипподромная – шоссе Космонавтов, ориентировочно на расстоянии – более </w:t>
              <w:br/>
              <w:t>2,0 км от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</w:rPr>
              <w:t>При проектировании</w:t>
            </w:r>
            <w:r>
              <w:rPr>
                <w:sz w:val="24"/>
                <w:highlight w:val="white"/>
              </w:rPr>
              <w:t xml:space="preserve">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</w:t>
              <w:br/>
              <w:t>на локальные очистные сооружения, канализование объекта в выгребную яму с последующим вывозом стоков спец.машинами),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ООО «НОВОГОР-Прикамье» эксплуатирует только централизованные системы водоснабжения </w:t>
              <w:br/>
              <w:t>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ООО «НОВО</w:t>
            </w:r>
            <w:bookmarkStart w:id="0" w:name="undefined_Копия_1"/>
            <w:bookmarkEnd w:id="0"/>
            <w:r>
              <w:rPr>
                <w:b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z w:val="24"/>
                <w:szCs w:val="24"/>
                <w:highlight w:val="white"/>
              </w:rPr>
              <w:t>от 03.06.2025 № 110-7953).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z w:val="24"/>
                <w:szCs w:val="24"/>
                <w:highlight w:val="white"/>
              </w:rPr>
              <w:t xml:space="preserve"> от 03.06.2025 № 51000-32-01955).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рекомендовано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30.07.2025 № 059-04-17/3-686-ри).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Техническое присоединение планируемых к строительству объектов в границах Участка может быть произведено к узлу ВОЛС (г. Пермь, ул. 2-я Красавинская, д. 79).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 границах Участка сетей связи ПАО «Ростелеком» и их охранных зон нет.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Для получения технических условий на подключение к сетям связи ПАО «Ростелеком» необходимо обратиться в Отдел продаж и обслуживания по адресу:</w:t>
              <w:br/>
              <w:t xml:space="preserve"> г. Пермь, ул. Крупской, 2, тел.:(342) 235-57-34 или направить запрос на </w:t>
            </w:r>
            <w:hyperlink r:id="rId10">
              <w:r>
                <w:rPr>
                  <w:rStyle w:val="Hyperlink"/>
                  <w:color w:val="000000"/>
                  <w:sz w:val="24"/>
                  <w:szCs w:val="24"/>
                </w:rPr>
                <w:t>perm-mail@ural.rt.ru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02.06.2025 № 01/05/82152/25</w:t>
            </w:r>
            <w:r>
              <w:rPr>
                <w:sz w:val="24"/>
                <w:szCs w:val="24"/>
                <w:highlight w:val="white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</w:t>
              <w:br/>
              <w:t xml:space="preserve">не предусмотрено строительство сетей водоснабжения </w:t>
              <w:br/>
              <w:t>и водоотведения.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b w:val="false"/>
                <w:bCs w:val="false"/>
                <w:spacing w:val="0"/>
                <w:sz w:val="24"/>
                <w:szCs w:val="24"/>
                <w:highlight w:val="white"/>
              </w:rPr>
              <w:t>от 27.05.2025 № 059-04-17/3-445-ри</w:t>
            </w:r>
            <w:r>
              <w:rPr>
                <w:b w:val="false"/>
                <w:bCs w:val="false"/>
                <w:sz w:val="24"/>
                <w:szCs w:val="24"/>
                <w:highlight w:val="white"/>
              </w:rPr>
              <w:t>).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Cs w:val="24"/>
                <w:highlight w:val="white"/>
                <w14:ligatures w14:val="none"/>
              </w:rPr>
            </w:pPr>
            <w:r>
              <w:rPr>
                <w:szCs w:val="24"/>
                <w:highlight w:val="white"/>
                <w14:ligatures w14:val="none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  <w:shd w:fill="auto" w:val="clear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>тел. 212-61-90 (отдел договоров), реквизиты которого указаны в Приложении 2 к настоящему извещению.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19 600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1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                           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hanging="1134" w:left="1134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21.08.2025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07.10.2025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08.10.2025.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09.10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2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21.08.2025 по 07.10.2025.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</w:t>
        <w:br/>
        <w:t xml:space="preserve">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</w:t>
        <w:br/>
        <w:t xml:space="preserve">на участие в аукционе может принять решение о продлении срока подачи заявок в соответствии </w:t>
        <w:br/>
        <w:t>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</w:t>
        <w:br/>
        <w:t xml:space="preserve">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</w:t>
        <w:br/>
        <w:t>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</w:t>
        <w:br/>
        <w:t>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21.08.2025 по 07.10.2025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заявка на участие в аукционе по установленной в извещении о проведении аукциона форме </w:t>
        <w:br/>
        <w:t>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</w:rPr>
      </w:pPr>
      <w:r>
        <w:rPr/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</w:t>
        <w:br/>
        <w:t xml:space="preserve">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</w:t>
        <w:br/>
        <w:t xml:space="preserve">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</w:t>
        <w:br/>
        <w:t>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</w:t>
        <w:br/>
        <w:t>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</w:t>
        <w:br/>
        <w:t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проведения аукциона договор аренды земельного участка заключается </w:t>
        <w:br/>
        <w:t>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2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3"/>
      <w:headerReference w:type="first" r:id="rId14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16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character" w:styleId="Style19">
    <w:name w:val="Основной текст Знак"/>
    <w:qFormat/>
    <w:rPr>
      <w:rFonts w:ascii="Courier New" w:hAnsi="Courier New" w:cs="Courier New"/>
      <w:sz w:val="26"/>
    </w:rPr>
  </w:style>
  <w:style w:type="character" w:styleId="Style2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21">
    <w:name w:val="Основной шрифт абзаца"/>
    <w:qFormat/>
    <w:rPr/>
  </w:style>
  <w:style w:type="character" w:styleId="WW8Num1z0">
    <w:name w:val="WW8Num1z0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4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32">
    <w:name w:val="Основной текст с отступом 3"/>
    <w:basedOn w:val="Normal"/>
    <w:qFormat/>
    <w:pPr>
      <w:widowControl/>
      <w:spacing w:before="0" w:after="120"/>
      <w:ind w:left="283"/>
      <w:jc w:val="left"/>
    </w:pPr>
    <w:rPr>
      <w:color w:val="auto"/>
      <w:sz w:val="16"/>
      <w:szCs w:val="16"/>
      <w:lang w:val="ru-RU" w:eastAsia="zh-CN" w:bidi="ar-SA"/>
    </w:rPr>
  </w:style>
  <w:style w:type="paragraph" w:styleId="Style28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>
    <w:name w:val="Текст выноски"/>
    <w:basedOn w:val="Normal"/>
    <w:qFormat/>
    <w:pPr>
      <w:widowControl/>
      <w:spacing w:before="0" w:after="0"/>
      <w:jc w:val="left"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Style30">
    <w:name w:val="Название объекта"/>
    <w:basedOn w:val="Normal"/>
    <w:qFormat/>
    <w:pPr>
      <w:widowControl w:val="false"/>
      <w:spacing w:lineRule="exact" w:line="360" w:before="0" w:after="0"/>
      <w:jc w:val="center"/>
    </w:pPr>
    <w:rPr>
      <w:b/>
      <w:color w:val="auto"/>
      <w:sz w:val="32"/>
      <w:lang w:val="ru-RU" w:eastAsia="zh-CN" w:bidi="ar-SA"/>
    </w:rPr>
  </w:style>
  <w:style w:type="paragraph" w:styleId="Caption1111">
    <w:name w:val="Caption11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1">
    <w:name w:val="Caption1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">
    <w:name w:val="Caption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83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6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6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6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6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7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8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0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0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3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4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5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5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5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5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5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8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mailto:perm-mail@ural.rt.ru" TargetMode="External"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utp.sberbank-ast.ru/AP/Notice/653/Requisites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LibreOffice/7.6.7.2$Linux_X86_64 LibreOffice_project/60$Build-2</Application>
  <AppVersion>15.0000</AppVersion>
  <Pages>16</Pages>
  <Words>5305</Words>
  <Characters>37273</Characters>
  <CharactersWithSpaces>42520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Tatyannikova</dc:creator>
  <dc:description/>
  <dc:language>ru-RU</dc:language>
  <cp:lastModifiedBy/>
  <dcterms:modified xsi:type="dcterms:W3CDTF">2025-08-20T12:34:51Z</dcterms:modified>
  <cp:revision>238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