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left="284"/>
        <w:jc w:val="right"/>
        <w:spacing w:after="0" w:line="276" w:lineRule="auto"/>
        <w:rPr>
          <w:sz w:val="18"/>
          <w:szCs w:val="18"/>
        </w:rPr>
        <w:outlineLvl w:val="0"/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513"/>
        <w:spacing w:after="0"/>
        <w:widowControl w:val="o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2"/>
        <w:jc w:val="both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90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еп</w:t>
      </w:r>
      <w:r>
        <w:rPr>
          <w:rFonts w:ascii="Times New Roman" w:hAnsi="Times New Roman" w:cs="Times New Roman"/>
          <w:sz w:val="24"/>
          <w:szCs w:val="24"/>
        </w:rPr>
        <w:t xml:space="preserve">артамент земельных отношений администрации города Перми, именуемый </w:t>
        <w:br/>
        <w:t xml:space="preserve">в дальнейшем Арендодатель, в лице ____________, действующего на основании __________, </w:t>
        <w:br/>
        <w:t xml:space="preserve">с одной стороны, и _______________, именуемый в дальнейшем Арендатор, с другой стороны, совместно име</w:t>
      </w:r>
      <w:r>
        <w:rPr>
          <w:rFonts w:ascii="Times New Roman" w:hAnsi="Times New Roman" w:cs="Times New Roman"/>
          <w:sz w:val="24"/>
          <w:szCs w:val="24"/>
        </w:rPr>
        <w:t xml:space="preserve">нуемые «Стороны», на основании протокола о результатах электронных аукционов на право заключения договоров аренды земельных участков от  ______ по лоту </w:t>
        <w:br/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 xml:space="preserve">(далее – протокол)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следующем.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59:01:4510619:122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916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Пермский край, городской округ Пермский, город Пермь, </w:t>
      </w:r>
      <w:r>
        <w:rPr>
          <w:rFonts w:ascii="Times New Roman" w:hAnsi="Times New Roman"/>
          <w:b/>
          <w:bCs/>
          <w:sz w:val="24"/>
          <w:szCs w:val="24"/>
        </w:rPr>
        <w:t xml:space="preserve">улица Новоколхозная, </w:t>
      </w:r>
      <w:r>
        <w:rPr>
          <w:rFonts w:ascii="Times New Roman" w:hAnsi="Times New Roman"/>
          <w:b/>
          <w:bCs/>
          <w:sz w:val="24"/>
          <w:szCs w:val="24"/>
        </w:rPr>
        <w:t xml:space="preserve">земельный участок 9а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</w:t>
      </w:r>
      <w:r>
        <w:rPr>
          <w:rFonts w:ascii="Times New Roman" w:hAnsi="Times New Roman" w:cs="Times New Roman"/>
          <w:sz w:val="24"/>
          <w:szCs w:val="24"/>
        </w:rPr>
        <w:t xml:space="preserve">в территориальной зоне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жилой застройки городского типа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(Ж-4).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зонах с особым условием использования территорий: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9"/>
        </w:numPr>
        <w:contextualSpacing w:val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зона затопления территорий,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прилегающих к зарегулированной р.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Кама (Воткинскому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водохранилищу) в нижнем бьефе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Камского гидроузла в г. Перми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Пермского края, затапливаемых при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пропуске Камским гидроузлом паводков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паводков расчетной обеспеченности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1%";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numPr>
          <w:ilvl w:val="0"/>
          <w:numId w:val="9"/>
        </w:numPr>
        <w:contextualSpacing w:val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приаэродромная территория аэродрома аэропорта Большое Савино.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283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геодезической съемкой,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выполненной в 2025 году,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в границах земельного участка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с северной стороны расположены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сети газоснабжения.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1.3.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роектирование и строительство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у), ванные комнаты и (или) душевые, туалет (уборную) или совмещенный санузел, переднюю.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общей комнаты в доме с числом комнат две и более - 16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спальни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  <w:br/>
        <w:t xml:space="preserve">(на двух человек - 10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); кухни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 кухонной зоны в кухне-столовой - 6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 домах с одной комнатой допускается проектировать кухни или кухни-ниши площадью не менее 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Площадь спальни и кухни в мансардном этаже (или этаже с наклонными ограждающими конструкциями) допуска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ется не менее 7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при условии, что общая жилая комната имеет площадь </w:t>
        <w:br/>
        <w:t xml:space="preserve">не менее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Согласно информации, содержащейся в градостроительно</w:t>
      </w:r>
      <w:r>
        <w:rPr>
          <w:rFonts w:ascii="Times New Roman" w:hAnsi="Times New Roman"/>
          <w:sz w:val="24"/>
          <w:szCs w:val="24"/>
        </w:rPr>
        <w:t xml:space="preserve">м плане земельного участка </w:t>
      </w:r>
      <w:r>
        <w:rPr>
          <w:rFonts w:ascii="Times New Roman" w:hAnsi="Times New Roman"/>
          <w:sz w:val="24"/>
          <w:szCs w:val="24"/>
        </w:rPr>
        <w:t xml:space="preserve">от 03.07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2025 № РФ-59-2-03-0-00-2025-1562</w:t>
      </w:r>
      <w:r>
        <w:rPr>
          <w:rFonts w:ascii="Times New Roman" w:hAnsi="Times New Roman"/>
          <w:sz w:val="24"/>
          <w:szCs w:val="24"/>
        </w:rPr>
        <w:t xml:space="preserve">-0</w:t>
      </w:r>
      <w:r>
        <w:rPr>
          <w:rFonts w:ascii="Times New Roman" w:hAnsi="Times New Roman"/>
          <w:sz w:val="24"/>
          <w:szCs w:val="24"/>
        </w:rPr>
        <w:t xml:space="preserve">, предельная высота зданий, строений не более 10,5 м (документация по планировке территории, утверждена постановлением админист</w:t>
      </w:r>
      <w:r>
        <w:rPr>
          <w:rFonts w:ascii="Times New Roman" w:hAnsi="Times New Roman"/>
          <w:sz w:val="24"/>
          <w:szCs w:val="24"/>
        </w:rPr>
        <w:t xml:space="preserve">рации города Перми от 22.12.2017 № 1178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ановленных проектом планировки территории, а также смежных земельных участков при блокированной жилой застройке) – 3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Максимальный процент застройки в границах земельного участка – 30%.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 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3.1. Арендатор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3.1.1. использовать земельный участок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условиями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сооружений, которые могут размещаться на таких земельных участках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 сервитута, публичного сервитута или в соответствии со статьей 39.36 Земельного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 Арендатор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использовать земельный участок в границах, сведения о которых содержатся в Едином государственном реестре не</w:t>
      </w:r>
      <w:r>
        <w:rPr>
          <w:rFonts w:ascii="Times New Roman" w:hAnsi="Times New Roman" w:cs="Times New Roman"/>
          <w:sz w:val="24"/>
          <w:szCs w:val="24"/>
        </w:rPr>
        <w:t xml:space="preserve">движимости, в соответствии с це</w:t>
      </w:r>
      <w:r>
        <w:rPr>
          <w:rFonts w:ascii="Times New Roman" w:hAnsi="Times New Roman" w:cs="Times New Roman"/>
          <w:sz w:val="24"/>
          <w:szCs w:val="24"/>
        </w:rPr>
        <w:t xml:space="preserve">левым назначением и видом разрешенного использования,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своевременно вносить арендную плату;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Арендодателю,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ставителям органов контроля сво</w:t>
      </w:r>
      <w:r>
        <w:rPr>
          <w:rFonts w:ascii="Times New Roman" w:hAnsi="Times New Roman" w:cs="Times New Roman"/>
          <w:sz w:val="24"/>
          <w:szCs w:val="24"/>
        </w:rPr>
        <w:t xml:space="preserve">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доступ на земельный </w:t>
      </w:r>
      <w:r>
        <w:rPr>
          <w:rFonts w:ascii="Times New Roman" w:hAnsi="Times New Roman" w:cs="Times New Roman"/>
          <w:sz w:val="24"/>
          <w:szCs w:val="24"/>
        </w:rPr>
        <w:t xml:space="preserve">участок представителей собствен</w:t>
      </w:r>
      <w:r>
        <w:rPr>
          <w:rFonts w:ascii="Times New Roman" w:hAnsi="Times New Roman" w:cs="Times New Roman"/>
          <w:sz w:val="24"/>
          <w:szCs w:val="24"/>
        </w:rPr>
        <w:t xml:space="preserve">ника линейного объекта или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8 не допускать строительства на зем</w:t>
      </w:r>
      <w:r>
        <w:rPr>
          <w:rFonts w:ascii="Times New Roman" w:hAnsi="Times New Roman" w:cs="Times New Roman"/>
          <w:sz w:val="24"/>
          <w:szCs w:val="24"/>
        </w:rPr>
        <w:t xml:space="preserve">ельном участке до получения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 допускать строительства на земельно</w:t>
      </w:r>
      <w:r>
        <w:rPr>
          <w:rFonts w:ascii="Times New Roman" w:hAnsi="Times New Roman" w:cs="Times New Roman"/>
          <w:sz w:val="24"/>
          <w:szCs w:val="24"/>
        </w:rPr>
        <w:t xml:space="preserve">м участке до получения уведомле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</w:t>
      </w:r>
      <w:r>
        <w:rPr>
          <w:rStyle w:val="908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Направить Арендодателю копию уведомления в соответствии с абзацем вторым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пункта в течение 10 дней со дня его получения;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3.2.9</w:t>
      </w:r>
      <w:r>
        <w:rPr>
          <w:rFonts w:ascii="Times New Roman" w:hAnsi="Times New Roman" w:cs="Times New Roman"/>
          <w:sz w:val="24"/>
          <w:szCs w:val="24"/>
        </w:rPr>
        <w:t xml:space="preserve"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</w:t>
      </w:r>
      <w:r>
        <w:rPr>
          <w:rFonts w:ascii="Times New Roman" w:hAnsi="Times New Roman" w:cs="Times New Roman"/>
          <w:sz w:val="24"/>
          <w:szCs w:val="24"/>
        </w:rPr>
        <w:t xml:space="preserve">ы залога,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</w:t>
      </w:r>
      <w:r>
        <w:rPr>
          <w:rFonts w:ascii="Times New Roman" w:hAnsi="Times New Roman" w:cs="Times New Roman"/>
          <w:sz w:val="24"/>
          <w:szCs w:val="24"/>
        </w:rPr>
        <w:t xml:space="preserve">дствием которых является или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какое-либо обременение предоставленных Арендатору по договору имущественных прав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Арендатор не вправе уступать права и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перевод долга по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зательствам, возникшим из договора аренды;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0. письменно сообщить Арендодателю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3.2.11. при расторжении, прекращении настоящего договора вернуть Арендодателю земельный участок в надлежащем состоянии в пятидневный срок с момента расторжения, прекращения настоящего договора по акту приема-передачи земельного участка;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2. в случае изменения адреса или иных реквизитов Арендатора в пятидневный срок направить Арендодателю письменное уведомление.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3.2.16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3.2.17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 к параметрам объекта недвижимости, предполагаемого к возведению, указанные в аукционной документации;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 планировании и размещении объектов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 (предусмо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рев и запроектировав соответствующее расстояние между строений для обеспечения подъезда и разворота пожарной техники, а так же источники противопожарного водоснабжения с пожарными гидрантами, которые надлежит размещать из условия обслуживания ими зданий,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ходящихся в радиусе 200 м. ширина проездов для пожарной техники в зависимости 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от 13 метров до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46 метров включительно; 6 метров – при высоте здания более 46 метров);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3.2.19.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проектом строительства предусмотреть: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numPr>
          <w:ilvl w:val="0"/>
          <w:numId w:val="4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нанесение существующих деревьев на стройгенплан. На земельном участке </w:t>
        <w:br/>
        <w:t xml:space="preserve">произрастает 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37 деревьев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пород: береза – 4 шт., ель – 3 шт., ива – 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11 шт., клен – 19 шт.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4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нос деревьев, попадающих под пятно застройки, на основании акта комиссионного обследования зеленых насаждений в соответствии с решением Пермской городской Думы от 15.12.2020 № 277 «Об утверждении Правил благоустройства территории города Перми». Ук</w:t>
      </w:r>
      <w:r>
        <w:rPr>
          <w:rFonts w:ascii="Times New Roman" w:hAnsi="Times New Roman"/>
          <w:sz w:val="24"/>
          <w:szCs w:val="24"/>
        </w:rPr>
        <w:t xml:space="preserve">азанный акт должен быть составлен на основании проектной документации. Остальные деревья сохранить;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6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восстановление зеленых насаждений в соответствии с решением Пермской городской Думы от 15.12.2020 № 277 «Об утверждении Правил благоустройства территории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1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/>
          <w:sz w:val="24"/>
          <w:szCs w:val="24"/>
          <w:highlight w:val="white"/>
        </w:rPr>
        <w:t xml:space="preserve">бор</w:t>
      </w:r>
      <w:r>
        <w:rPr>
          <w:rFonts w:ascii="Times New Roman" w:hAnsi="Times New Roman"/>
          <w:sz w:val="24"/>
          <w:szCs w:val="24"/>
          <w:highlight w:val="white"/>
        </w:rPr>
        <w:t xml:space="preserve"> и отвод</w:t>
      </w:r>
      <w:r>
        <w:rPr>
          <w:rFonts w:ascii="Times New Roman" w:hAnsi="Times New Roman"/>
          <w:sz w:val="24"/>
          <w:szCs w:val="24"/>
          <w:highlight w:val="white"/>
        </w:rPr>
        <w:t xml:space="preserve"> ливневых вод </w:t>
      </w:r>
      <w:r>
        <w:rPr>
          <w:rFonts w:ascii="Times New Roman" w:hAnsi="Times New Roman"/>
          <w:sz w:val="24"/>
          <w:szCs w:val="24"/>
          <w:highlight w:val="white"/>
        </w:rPr>
        <w:t xml:space="preserve">с использованием вариантов решений в зависимости от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наличия централизованной системы ливневой канализации,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  <w:highlight w:val="white"/>
        </w:rPr>
        <w:t xml:space="preserve">включая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 иных решений равномерного отвода поверхностного стока земельного участка;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01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образующихся отходов и мест их размещения на период эксплуатации;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расстоянии не менее 2 м от ствола дерева, чтобы не повредить корневую систему;  недопущение использования приствольных кругов существующих деревьев (ø 1м) под складирование материалов и установку временных сооружений;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и объемов образующихся отходов и мест их размещения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 систематический вывоз отходов; недоп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ущение загрязнения атмосферы, почвы и подземных вод; 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3.2.20. для присоединения земельного участка к улично-дорожной сети г. Перми необходимо:</w:t>
      </w:r>
      <w:r/>
    </w:p>
    <w:p>
      <w:pPr>
        <w:pStyle w:val="901"/>
        <w:numPr>
          <w:ilvl w:val="0"/>
          <w:numId w:val="11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11"/>
        </w:numPr>
        <w:contextualSpacing w:val="0"/>
        <w:ind w:lef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тано</w:t>
      </w:r>
      <w:r>
        <w:rPr>
          <w:rFonts w:ascii="Times New Roman" w:hAnsi="Times New Roman" w:cs="Times New Roman"/>
          <w:sz w:val="24"/>
          <w:szCs w:val="24"/>
        </w:rPr>
        <w:t xml:space="preserve">влением администрации города Перми от 31.01.2022     № 45 «Об утверждении Порядка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</w:t>
      </w:r>
      <w:r>
        <w:rPr>
          <w:rFonts w:ascii="Times New Roman" w:hAnsi="Times New Roman" w:cs="Times New Roman"/>
          <w:sz w:val="24"/>
          <w:szCs w:val="24"/>
        </w:rPr>
        <w:t xml:space="preserve">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дороге»);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-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электроосвещение территории объекта;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соблюдать огранич</w:t>
      </w:r>
      <w:r>
        <w:rPr>
          <w:rFonts w:ascii="Times New Roman" w:hAnsi="Times New Roman" w:cs="Times New Roman"/>
          <w:sz w:val="24"/>
          <w:szCs w:val="24"/>
        </w:rPr>
        <w:t xml:space="preserve">ения, установленные  </w:t>
      </w:r>
      <w:r>
        <w:rPr>
          <w:rFonts w:ascii="Times New Roman" w:hAnsi="Times New Roman" w:cs="Times New Roman"/>
          <w:sz w:val="24"/>
          <w:szCs w:val="24"/>
        </w:rPr>
        <w:t xml:space="preserve">частью 3 статьи 67.1 Водного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соблюдать правила охранных зон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 соблюдать Правила благоустройства территории города Перми, утвержденные решение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 Пермской городской Думы от 15.12.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2020 № 277 «Об утверждении Правил благоустр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ойства территории города Перми»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соблюдать иные требования, предусмотренные Земельным кодексом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4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Срок аренды земельного участка устанавливается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left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4.2. Ежегодный размер арендной платы составляет ______________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рублей (____________________________________________________________ рублей __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копеек).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01"/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9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первые 3 года.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(за вычетом зад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атка, внесенного для участия в аукционе), за 1 год.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за первый год использования по настоящему договору не возвращается.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4.4. Арендная плата исчисляется помесячно с «___» ______ 20__ г. и вносится в следующем порядке: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I и II кварталы до 05 февраля, за III квартал до 05 июня, за IV квартал до 05 сентября текущего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рендная плата начисляется за весь текущий месяц.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3.2.1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арендной плате за каждый день просрочки.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cs="Times New Roman"/>
          <w:sz w:val="24"/>
          <w:szCs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 и вносится Арендатором за все время просрочки.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настоящим договором, сто</w:t>
      </w:r>
      <w:r>
        <w:rPr>
          <w:rFonts w:ascii="Times New Roman" w:hAnsi="Times New Roman" w:cs="Times New Roman"/>
          <w:sz w:val="24"/>
          <w:szCs w:val="24"/>
        </w:rPr>
        <w:t xml:space="preserve">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 xml:space="preserve">и.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6.1 настоящего договора, Арендатор уплачивает Арендодателю неустойку в размере 0,03% от суммы, указанной в пункте 4.2 настоящего договора, за каждый день просрочки.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 xml:space="preserve">сторгнут по письменному соглаше</w:t>
      </w:r>
      <w:r>
        <w:rPr>
          <w:rFonts w:ascii="Times New Roman" w:hAnsi="Times New Roman" w:cs="Times New Roman"/>
          <w:sz w:val="24"/>
          <w:szCs w:val="24"/>
        </w:rPr>
        <w:t xml:space="preserve">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ом, а также в случаях, указанных в пункте 7.5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нный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независимо от ее последующего внесения;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(загрязнение или иное нега</w:t>
      </w:r>
      <w:r>
        <w:rPr>
          <w:rFonts w:ascii="Times New Roman" w:hAnsi="Times New Roman" w:cs="Times New Roman"/>
          <w:sz w:val="24"/>
          <w:szCs w:val="24"/>
        </w:rPr>
        <w:t xml:space="preserve">тивное воздействие на земли и почву);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</w:t>
      </w:r>
      <w:r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</w:t>
      </w:r>
      <w:r>
        <w:rPr>
          <w:rFonts w:ascii="Times New Roman" w:hAnsi="Times New Roman" w:cs="Times New Roman"/>
          <w:sz w:val="24"/>
          <w:szCs w:val="24"/>
        </w:rPr>
        <w:t xml:space="preserve">свобождает Арендатора от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погашения задолженности по арендной плате и уплаты пени, предусмотренной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7.4.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за исключением случаев наследования прав и обязанностей по договору в пределах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договора аренды земельного участка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трех лет, если более длительный срок не установлен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ном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</w:t>
      </w:r>
      <w:r>
        <w:rPr>
          <w:rFonts w:ascii="Times New Roman" w:hAnsi="Times New Roman" w:cs="Times New Roman"/>
          <w:sz w:val="24"/>
          <w:szCs w:val="24"/>
        </w:rPr>
        <w:t xml:space="preserve">рок последствий совершенного зе</w:t>
      </w:r>
      <w:r>
        <w:rPr>
          <w:rFonts w:ascii="Times New Roman" w:hAnsi="Times New Roman" w:cs="Times New Roman"/>
          <w:sz w:val="24"/>
          <w:szCs w:val="24"/>
        </w:rPr>
        <w:t xml:space="preserve">мельного правонарушения;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7.5.3. изъятия земельного участка для государственных или муниципальных нужд в соответствии с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7.5.4. при создании или возведении 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самовольной по</w:t>
      </w:r>
      <w:r>
        <w:rPr>
          <w:rFonts w:ascii="Times New Roman" w:hAnsi="Times New Roman" w:cs="Times New Roman"/>
          <w:sz w:val="24"/>
          <w:szCs w:val="24"/>
        </w:rPr>
        <w:t xml:space="preserve">стройки либо невыполнении обязанности, предусмотренной пунктом 1 части 11 статьи 55.32 Градостроительного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сроки,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7.5.5. по иным основаниям, предусмотренным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</w:t>
      </w:r>
      <w:r>
        <w:rPr>
          <w:rFonts w:ascii="Times New Roman" w:hAnsi="Times New Roman" w:cs="Times New Roman"/>
          <w:sz w:val="24"/>
          <w:szCs w:val="24"/>
        </w:rPr>
        <w:t xml:space="preserve"> 15 дней с даты направления уведомления Арендатору.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Арендатор вправе передать земельный участок (его часть) в субаренду на срок,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срока дей</w:t>
      </w:r>
      <w:r>
        <w:rPr>
          <w:rFonts w:ascii="Times New Roman" w:hAnsi="Times New Roman" w:cs="Times New Roman"/>
          <w:sz w:val="24"/>
          <w:szCs w:val="24"/>
        </w:rPr>
        <w:t xml:space="preserve">ствия настоящего договора, с письменного согласия Арендодателя, за исключением случаев, установленных законом.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8.3. При досрочном прекращении дейст</w:t>
      </w:r>
      <w:r>
        <w:rPr>
          <w:rFonts w:ascii="Times New Roman" w:hAnsi="Times New Roman" w:cs="Times New Roman"/>
          <w:sz w:val="24"/>
          <w:szCs w:val="24"/>
        </w:rPr>
        <w:t xml:space="preserve">вия настоящего договора соглаше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договором субаренды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W w:w="4652" w:type="dxa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Арендатор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: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(ФИО, дата рождения)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регистрации: 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фактического проживания: 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паспорт гражданина Российской Федерации: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выдан: 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дата выдачи: 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электронная почта: 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тел. 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ИНН 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СНИЛС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pStyle w:val="901"/>
        <w:ind w:firstLine="53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539"/>
        <w:jc w:val="both"/>
        <w:spacing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01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/>
            <w:bookmarkStart w:id="0" w:name="undefined"/>
            <w:r/>
            <w:bookmarkEnd w:id="0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rPr>
                <w:b/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  <w:t xml:space="preserve">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  <w:vertAlign w:val="superscript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rPr>
                <w:b/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 w:val="0"/>
              <w:ind w:left="108"/>
              <w:jc w:val="left"/>
              <w:spacing w:before="0" w:after="0" w:line="264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108"/>
              <w:jc w:val="left"/>
              <w:spacing w:before="0" w:after="0" w:line="264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68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contextualSpacing w:val="0"/>
        <w:jc w:val="left"/>
        <w:spacing w:before="0" w:after="0" w:line="264" w:lineRule="auto"/>
        <w:widowControl w:val="off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suppressLineNumbers w:val="0"/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Н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осит рекомендательный характер до 01 марта 2031 г.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pStyle w:val="906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  <w:r/>
        <w:r/>
      </w:p>
      <w:p>
        <w:pPr>
          <w:pStyle w:val="91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8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7"/>
    <w:next w:val="897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7"/>
    <w:next w:val="897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897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897"/>
    <w:next w:val="897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basedOn w:val="898"/>
    <w:link w:val="744"/>
    <w:uiPriority w:val="10"/>
    <w:rPr>
      <w:sz w:val="48"/>
      <w:szCs w:val="48"/>
    </w:rPr>
  </w:style>
  <w:style w:type="paragraph" w:styleId="746">
    <w:name w:val="Subtitle"/>
    <w:basedOn w:val="897"/>
    <w:next w:val="897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898"/>
    <w:link w:val="746"/>
    <w:uiPriority w:val="11"/>
    <w:rPr>
      <w:sz w:val="24"/>
      <w:szCs w:val="24"/>
    </w:rPr>
  </w:style>
  <w:style w:type="paragraph" w:styleId="748">
    <w:name w:val="Quote"/>
    <w:basedOn w:val="897"/>
    <w:next w:val="897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7"/>
    <w:next w:val="897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898"/>
    <w:link w:val="911"/>
    <w:uiPriority w:val="99"/>
  </w:style>
  <w:style w:type="character" w:styleId="753">
    <w:name w:val="Footer Char"/>
    <w:basedOn w:val="898"/>
    <w:link w:val="913"/>
    <w:uiPriority w:val="99"/>
  </w:style>
  <w:style w:type="paragraph" w:styleId="754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913"/>
    <w:uiPriority w:val="99"/>
  </w:style>
  <w:style w:type="table" w:styleId="756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character" w:styleId="882">
    <w:name w:val="Footnote Text Char"/>
    <w:link w:val="906"/>
    <w:uiPriority w:val="99"/>
    <w:rPr>
      <w:sz w:val="18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3">
    <w:name w:val="Body Text Indent 2"/>
    <w:basedOn w:val="897"/>
    <w:link w:val="904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Основной текст с отступом 2 Знак"/>
    <w:basedOn w:val="898"/>
    <w:link w:val="90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5">
    <w:name w:val="Table Grid"/>
    <w:basedOn w:val="89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6">
    <w:name w:val="footnote text"/>
    <w:basedOn w:val="897"/>
    <w:link w:val="9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7" w:customStyle="1">
    <w:name w:val="Текст сноски Знак"/>
    <w:basedOn w:val="898"/>
    <w:link w:val="906"/>
    <w:uiPriority w:val="99"/>
    <w:semiHidden/>
    <w:rPr>
      <w:sz w:val="20"/>
      <w:szCs w:val="20"/>
    </w:rPr>
  </w:style>
  <w:style w:type="character" w:styleId="908">
    <w:name w:val="footnote reference"/>
    <w:semiHidden/>
    <w:unhideWhenUsed/>
    <w:rPr>
      <w:vertAlign w:val="superscript"/>
    </w:rPr>
  </w:style>
  <w:style w:type="table" w:styleId="909" w:customStyle="1">
    <w:name w:val="Сетка таблицы1"/>
    <w:basedOn w:val="89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0">
    <w:name w:val="Strong"/>
    <w:basedOn w:val="898"/>
    <w:uiPriority w:val="22"/>
    <w:qFormat/>
    <w:rPr>
      <w:rFonts w:hint="default" w:ascii="Times New Roman" w:hAnsi="Times New Roman" w:cs="Times New Roman"/>
      <w:b/>
      <w:bCs w:val="0"/>
    </w:rPr>
  </w:style>
  <w:style w:type="paragraph" w:styleId="911">
    <w:name w:val="Header"/>
    <w:basedOn w:val="897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898"/>
    <w:link w:val="911"/>
    <w:uiPriority w:val="99"/>
  </w:style>
  <w:style w:type="paragraph" w:styleId="913">
    <w:name w:val="Footer"/>
    <w:basedOn w:val="897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898"/>
    <w:link w:val="913"/>
    <w:uiPriority w:val="99"/>
  </w:style>
  <w:style w:type="paragraph" w:styleId="915">
    <w:name w:val="Balloon Text"/>
    <w:basedOn w:val="897"/>
    <w:link w:val="9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98"/>
    <w:link w:val="91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19</cp:revision>
  <dcterms:created xsi:type="dcterms:W3CDTF">2024-03-22T04:14:00Z</dcterms:created>
  <dcterms:modified xsi:type="dcterms:W3CDTF">2025-08-20T10:00:30Z</dcterms:modified>
</cp:coreProperties>
</file>