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>г. Пермь, ул. Сибирская, д.14, каб.2                                                       04.09.2025,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hanging="3175" w:left="3175" w:righ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Хаткевич А.А. начальник департамента имущественных отношений администрации города Перми;  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hanging="4876" w:left="4876" w:right="0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3005" w:left="3005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spacing w:lineRule="auto" w:line="276" w:before="0" w:after="0"/>
        <w:ind w:hanging="2160" w:left="216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Член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</w:p>
    <w:p>
      <w:pPr>
        <w:pStyle w:val="Normal"/>
        <w:widowControl/>
        <w:spacing w:lineRule="auto" w:line="276" w:before="0" w:after="0"/>
        <w:ind w:hanging="0" w:left="221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false"/>
          <w:bCs w:val="false"/>
          <w:sz w:val="28"/>
          <w:szCs w:val="28"/>
        </w:rPr>
        <w:t>04</w:t>
      </w:r>
      <w:r>
        <w:rPr>
          <w:sz w:val="28"/>
          <w:szCs w:val="28"/>
        </w:rPr>
        <w:t>.09.2025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Лот № 1.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</w:rPr>
        <w:t>Право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заключения договора аренды земельного участка, государственная собственность на который не разграничена, с кадастровым номером 59:01:2512465:37, площадью 1180 кв. м, расположенного по адресу: Российская Федерация, Пермский край, городской округ Пермский, город Пермь, улица Трясолобова, з/у 40д,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b w:val="false"/>
          <w:bCs w:val="false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ru-RU" w:eastAsia="ru-RU" w:bidi="ar-SA"/>
        </w:rPr>
        <w:t>Электронный аукцион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  <w:t xml:space="preserve"> по лоту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  <w:t>№ 1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  <w:t xml:space="preserve"> признан несостоявшимся в связи с тем,  что на участие в торгах по данному лоту не поступило ни одной заявки. </w:t>
      </w:r>
    </w:p>
    <w:p>
      <w:pPr>
        <w:pStyle w:val="Normal"/>
        <w:spacing w:lineRule="auto" w:line="276" w:before="0" w:after="120"/>
        <w:rPr>
          <w:rFonts w:eastAsia="Droid Sans Fallback" w:cs="Lohit Devanagari"/>
          <w:b/>
          <w:i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</w:pPr>
      <w:r>
        <w:rPr>
          <w:rFonts w:eastAsia="Droid Sans Fallback" w:cs="Lohit Devanagari"/>
          <w:b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</w:r>
    </w:p>
    <w:p>
      <w:pPr>
        <w:pStyle w:val="Normal"/>
        <w:spacing w:lineRule="auto" w:line="276" w:before="0" w:after="120"/>
        <w:rPr/>
      </w:pPr>
      <w:r>
        <w:rPr>
          <w:rFonts w:eastAsia="Droid Sans Fallback" w:cs="Lohit Devanagari"/>
          <w:b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  <w:t>Лот № 2.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firstLine="737" w:left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8"/>
          <w:szCs w:val="28"/>
          <w:highlight w:val="white"/>
          <w:shd w:fill="auto" w:val="clear"/>
          <w:lang w:val="ru-RU" w:eastAsia="ru-RU" w:bidi="ar-SA"/>
        </w:rPr>
        <w:t>П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раво заключения договора аренды земельного участка, государственная собственность на который не разграничена, с кадастровым номером 59:01:2910323:847, площадью 1131 кв. м, расположенного по адресу: Российская Федерация, Пермский край, городской округ Пермский, город Пермь, улица Васнецова, з/у 6б, для строительства склада. Разрешенное использование земельного участка – склады.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Время окончания электронного аукциона: 12:31 по местному времени (10:31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На участие в аукционе поступило 5 заявок.</w:t>
      </w:r>
    </w:p>
    <w:p>
      <w:pPr>
        <w:pStyle w:val="Normal"/>
        <w:widowControl/>
        <w:spacing w:lineRule="auto" w:line="276" w:before="0" w:after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Сведения об участниках аукциона – Шадричев Сергей Владимирович, индивидуальный предприниматель Геверц Кирилл Анатольевич,  индивидуальный предприниматель Сырых Елена Анатольевна, Осташов Виталий Васильевич, Курилов Николай Михайлович.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Начальная цена предмета аукциона – 354 000,00 руб.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Максимальное предложение участника 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20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Шадричев Сергей Владимирович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9987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Геверц Кирилл Анатольевич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1575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Сырых Елена Анатольевна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2 247 900,00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999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Осташов Виталий Васильевич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2 230 200,00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3287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Курилов Николай Михайлович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477 900,00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Последнее предложение о цене предмета аукциона – 2 247 900,00 руб.</w:t>
      </w:r>
    </w:p>
    <w:p>
      <w:pPr>
        <w:pStyle w:val="Normal"/>
        <w:widowControl/>
        <w:spacing w:lineRule="auto" w:line="276" w:before="0" w:after="0"/>
        <w:jc w:val="left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Предпоследнее предложение о цене предмета аукциона – 2 230 200,00 руб.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Победитель аукциона – индивидуальный предприниматель Сырых Елена Анатольевна.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Участник аукциона, который сделал предпоследнее предложение о цене предмета аукциона – Осташов Виталий Васильевич.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Times New Roman" w:cs="Times New Roman"/>
          <w:b/>
          <w:bCs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2 247 900,00 руб.</w:t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Лот № 3.</w:t>
      </w:r>
    </w:p>
    <w:p>
      <w:pPr>
        <w:pStyle w:val="Normal"/>
        <w:widowControl/>
        <w:bidi w:val="0"/>
        <w:spacing w:lineRule="auto" w:line="276" w:before="0" w:after="0"/>
        <w:ind w:firstLine="737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раво заключения договора аренды земельного участка, государственная собственность на который не разграничена, с кадастровым номером 59:01:3812839:182, площадью 587 кв. м, расположенного по адресу: Российская Федерация, Пермский край, городской округ Пермский, город Пермь, улица                 1-я Логовая, з/у 1г, для индивидуального жилищного строительства (2.1).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76" w:before="0" w:after="0"/>
        <w:ind w:firstLine="720" w:left="0" w:right="0"/>
        <w:jc w:val="both"/>
        <w:rPr/>
      </w:pPr>
      <w:r>
        <w:rPr>
          <w:rFonts w:eastAsia="Droid Sans Fallback" w:cs="Lohit Devanagari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ru-RU" w:eastAsia="ru-RU" w:bidi="ar-SA"/>
        </w:rPr>
        <w:t>Электронный аукцион</w:t>
      </w:r>
      <w:r>
        <w:rPr>
          <w:rFonts w:eastAsia="Droid Sans Fallback" w:cs="Lohit Devanagari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en-US" w:eastAsia="ru-RU" w:bidi="ar-SA"/>
        </w:rPr>
        <w:t xml:space="preserve"> по лоту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en-US" w:eastAsia="ru-RU" w:bidi="ar-SA"/>
        </w:rPr>
        <w:t xml:space="preserve">№ 3 </w:t>
      </w:r>
      <w:r>
        <w:rPr>
          <w:rFonts w:eastAsia="Droid Sans Fallback" w:cs="Lohit Devanagari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en-US" w:eastAsia="ru-RU" w:bidi="ar-SA"/>
        </w:rPr>
        <w:t xml:space="preserve">признан несостоявшимся в связи с тем,  что на участие в торгах по данному лоту не поступило ни одной заявки. 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Лот № 4. 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en-US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en-US" w:eastAsia="ru-RU" w:bidi="ar-SA"/>
        </w:rPr>
        <w:t xml:space="preserve">Право 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заключения договора аренды земельного участка, государственная собственность на который не разграничена, с кадастровым номером 59:01:3812825:169, площадью 834 кв. м, расположенного по адресу: Российская Федерация, Пермский край, городской округ Пермский, город Пермь, улица Кизеловская, з/у 12б,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Электронный аукцион по лоту </w:t>
      </w:r>
      <w:r>
        <w:rPr>
          <w:rFonts w:eastAsia="Times New Roman" w:cs="Times New Roman"/>
          <w:b/>
          <w:bCs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№ 4 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признан несостоявшимся в связи с тем,  что на участие в торгах по данному лоту не поступило ни одной заявки. </w:t>
      </w:r>
    </w:p>
    <w:p>
      <w:pPr>
        <w:pStyle w:val="Normal"/>
        <w:spacing w:lineRule="auto" w:line="276" w:before="0" w:after="12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120"/>
        <w:rPr>
          <w:sz w:val="28"/>
          <w:szCs w:val="24"/>
        </w:rPr>
      </w:pPr>
      <w:r>
        <w:rPr>
          <w:b/>
          <w:sz w:val="28"/>
          <w:szCs w:val="24"/>
        </w:rPr>
        <w:t xml:space="preserve">Лот № 5.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sz w:val="28"/>
          <w:szCs w:val="24"/>
        </w:rPr>
      </w:pPr>
      <w:r>
        <w:rPr>
          <w:b w:val="false"/>
          <w:bCs w:val="false"/>
          <w:i w:val="false"/>
          <w:iCs w:val="false"/>
          <w:caps w:val="false"/>
          <w:smallCaps w:val="false"/>
          <w:sz w:val="28"/>
          <w:szCs w:val="24"/>
        </w:rPr>
        <w:t>П</w:t>
      </w:r>
      <w:r>
        <w:rPr>
          <w:sz w:val="28"/>
          <w:szCs w:val="24"/>
        </w:rPr>
        <w:t>раво заключения договора аренды земельного участка, государственная собственность на который не разграничена, с кадастровым номером 59:01:3812839:180, площадью 597 кв. м, расположенного по адресу: Российская Федерация, Пермский край, городской округ Пермский, город Пермь, улица                1-я Логовая, з/у 1в, для индивидуального жилищного строительства (2.1).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Электронный аукцион по лоту </w:t>
      </w:r>
      <w:r>
        <w:rPr>
          <w:rFonts w:eastAsia="Times New Roman" w:cs="Times New Roman"/>
          <w:b/>
          <w:bCs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№ 5 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признан несостоявшимся в связи с тем,  что на участие в торгах по данному лоту не поступило ни одной заявки. 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Председатель комиссии    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 комиссии </w:t>
        <w:tab/>
        <w:tab/>
        <w:tab/>
        <w:tab/>
        <w:tab/>
        <w:tab/>
        <w:tab/>
        <w:tab/>
        <w:t xml:space="preserve">               </w:t>
      </w:r>
      <w:r>
        <w:rPr/>
        <w:t xml:space="preserve"> </w:t>
      </w:r>
      <w:r>
        <w:rPr>
          <w:sz w:val="28"/>
          <w:szCs w:val="24"/>
        </w:rPr>
        <w:t>Ю.И. Четина</w:t>
      </w:r>
    </w:p>
    <w:p>
      <w:pPr>
        <w:pStyle w:val="Normal"/>
        <w:widowControl/>
        <w:spacing w:before="0" w:after="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71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8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8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1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1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1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1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2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3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5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5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7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8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8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8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8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9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9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9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0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0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0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0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0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0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LibreOffice/7.6.7.2$Linux_X86_64 LibreOffice_project/60$Build-2</Application>
  <AppVersion>15.0000</AppVersion>
  <Pages>4</Pages>
  <Words>741</Words>
  <Characters>5257</Characters>
  <CharactersWithSpaces>6262</CharactersWithSpaces>
  <Paragraphs>73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dcterms:modified xsi:type="dcterms:W3CDTF">2025-09-04T12:49:32Z</dcterms:modified>
  <cp:revision>146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