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18.09.2025 № 059-19-01-11-134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23.10.2025 электронного аукциона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8"/>
        </w:rPr>
        <w:t>18.09.2025 № 059-19-01-11-134.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5"/>
        <w:gridCol w:w="6864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от 22 августа 2025 г. № 21-01-03-6787 «О проведении аукциона по продаже земельного участка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jc w:val="both"/>
              <w:rPr/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Российская Федерация, Пермский край, городской округ Пермский, город Пермь, улица Омская, з/у 11в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-283"/>
              <w:rPr/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59:01:3911563:125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>12.09.2025г. No КУВИ-001/2025-173525892</w:t>
            </w:r>
            <w:r>
              <w:rPr>
                <w:sz w:val="24"/>
                <w:szCs w:val="24"/>
              </w:rPr>
              <w:t xml:space="preserve"> (далее - ЕГРН)</w:t>
            </w:r>
            <w:r>
              <w:rPr>
                <w:sz w:val="24"/>
                <w:szCs w:val="24"/>
                <w14:ligatures w14:val="none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>
              <w:rPr>
                <w:sz w:val="24"/>
              </w:rPr>
              <w:t>.06.2025 № РФ-59-2-03-0-00-2025-1494-0</w:t>
            </w:r>
            <w:r>
              <w:rPr>
                <w:sz w:val="24"/>
                <w:szCs w:val="24"/>
              </w:rPr>
              <w:t xml:space="preserve">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Доступ к земельному участку ограничен порослью деревьев и кустарников, на момент обследования земельного участка движимых и недвижимых объектов не обнаружено.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Ближайшие пожарные гидранты к участку с кадастровым номером: 59:01:3911563:125, расположены по ул. Омская, 5 - на расстоянии 150 м. от участка; по ул. Сигаева, 17а - на расстоянии 94 м. от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администрации Мотовилихинского района </w:t>
            </w:r>
            <w:r>
              <w:rPr>
                <w:color w:val="auto"/>
                <w:sz w:val="24"/>
                <w:szCs w:val="24"/>
              </w:rPr>
              <w:t>от 10.07.2025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>059-36-01-42/3-161, в акте обследования от 09.07.2025).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В соответствии со сведениями ЕГРН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  <w:t>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В соответствии с </w:t>
            </w:r>
            <w:r>
              <w:rPr>
                <w:color w:val="auto"/>
                <w:sz w:val="24"/>
                <w:szCs w:val="24"/>
                <w:highlight w:val="white"/>
              </w:rPr>
              <w:t>копией планшета М 1:500 (требуется корректура</w:t>
            </w:r>
            <w:r>
              <w:rPr>
                <w:color w:val="auto"/>
                <w:sz w:val="24"/>
                <w:szCs w:val="24"/>
              </w:rPr>
              <w:t>) в границах Участка расположен овраг.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В соответствии с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геодезической съемкой, выполненной </w:t>
              <w:br/>
              <w:t>в 2025 году</w:t>
            </w:r>
            <w:r>
              <w:rPr>
                <w:color w:val="auto"/>
                <w:sz w:val="24"/>
                <w:szCs w:val="24"/>
              </w:rPr>
              <w:t>, в границах Участка расположен лог и забор. С юго-востока Участок отсыпан.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12.09.2025 № 645681 Участок полностью расположен </w:t>
              <w:br/>
              <w:t>в границах зоны с особыми условиями использования территории - приаэродромная территория аэродрома аэропорта Большое Савино, реестровый номер 59:32-6.553.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  <w:lang w:val="ru-RU" w:eastAsia="ru-RU"/>
              </w:rPr>
              <w:t xml:space="preserve">Проектирование и строительство вести в соответствии </w:t>
              <w:br/>
              <w:t xml:space="preserve">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На Участке произрастает 35 деревьев: калина 5 шт., рябина 9 шт., береза 18 шт., черемуха 3 шт.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auto"/>
                <w:spacing w:val="0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0"/>
                <w:sz w:val="24"/>
                <w:highlight w:val="white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>перечне мероприятий по охране окружающей среды от 25.06.2025 № 178 (прилагается).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 w:cs="Times New Roman"/>
                <w:color w:val="auto"/>
                <w:spacing w:val="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val="auto"/>
                <w:spacing w:val="0"/>
                <w:sz w:val="24"/>
                <w:szCs w:val="24"/>
                <w:highlight w:val="white"/>
              </w:rPr>
              <w:t xml:space="preserve"> от 25.06.2025 № 059-33-01-10/3-386</w:t>
            </w:r>
            <w:r>
              <w:rPr>
                <w:rFonts w:eastAsia="Times New Roman" w:cs="Times New Roman"/>
                <w:color w:val="auto"/>
                <w:spacing w:val="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 «Об утверждении муниципальной программы «Дорожная деятельность и благоустройство города Перми»,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</w:t>
            </w: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color w:themeColor="text2" w:themeTint="99" w:va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 xml:space="preserve">Также направлена информация </w:t>
            </w:r>
            <w:r>
              <w:rPr>
                <w:rFonts w:eastAsia="Times New Roman" w:cs="Times New Roman"/>
                <w:color w:val="auto"/>
                <w:sz w:val="24"/>
                <w:highlight w:val="white"/>
              </w:rPr>
              <w:t>о соб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людении Правил благоустройства территории города Перми, утвержденных решением Пермской городской Думы </w:t>
              <w:br/>
              <w:t>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В соответствии с Федеральным Законом от 08.11.2007 </w:t>
              <w:br/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осуществляются строительство, реконструкция, капитальный ремонт, ремонт пересечений </w:t>
              <w:br/>
              <w:t>или примыканий.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val="auto"/>
                <w:sz w:val="24"/>
                <w:szCs w:val="24"/>
              </w:rPr>
              <w:t xml:space="preserve"> от 20.06.2025 № 059-24-01-36/3-2136).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 планировке и размещении объектов </w:t>
              <w:br/>
              <w:t xml:space="preserve">на вышеуказанной территории необходимо соблюдать нормы и требования действующего законодательства: федеральных законов от 21 декабря 1994 г. № 69-ФЗ </w:t>
              <w:br/>
              <w:t>«О пожарной безопасности» и от 22 июля 2008 г. № 123-ФЗ «Технический регламент о</w:t>
            </w:r>
            <w:r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требованиях пожарной безопасности», Свода правил 8.13130. «Системы противопожарной защиты. Источники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наружного противопожарного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водоснабжения. Требования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 - 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«Расписании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выезда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подразделений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Пермского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местного пожарно-спасательного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гарнизона для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тушения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пожаров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проведения аварийно-спасательных работ на территории Пермского городского округа, Пермского</w:t>
            </w:r>
            <w:r>
              <w:rPr>
                <w:rFonts w:eastAsia="Times New Roman" w:cs="Times New Roman"/>
                <w:color w:val="auto"/>
                <w:spacing w:val="56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муниципального</w:t>
            </w:r>
            <w:r>
              <w:rPr>
                <w:rFonts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района",</w:t>
            </w:r>
            <w:r>
              <w:rPr>
                <w:rFonts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утвержденном</w:t>
            </w:r>
            <w:r>
              <w:rPr>
                <w:rFonts w:eastAsia="Times New Roman" w:cs="Times New Roman"/>
                <w:color w:val="auto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Главой</w:t>
            </w:r>
            <w:r>
              <w:rPr>
                <w:rFonts w:eastAsia="Times New Roman" w:cs="Times New Roman"/>
                <w:color w:val="auto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города</w:t>
            </w:r>
            <w:r>
              <w:rPr>
                <w:rFonts w:eastAsia="Times New Roman" w:cs="Times New Roman"/>
                <w:color w:val="auto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sz w:val="24"/>
                <w:szCs w:val="24"/>
              </w:rPr>
              <w:t xml:space="preserve">Перми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26.04.2024.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Подразделение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пожарной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охраны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находится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по</w:t>
            </w:r>
            <w:r>
              <w:rPr>
                <w:rFonts w:eastAsia="Times New Roman" w:cs="Times New Roman"/>
                <w:color w:val="auto"/>
                <w:spacing w:val="8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адресу: ул. Уральская, 74.</w:t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>в данном микрорайоне расположен по адресу: г. Пермь, ул. Гашкова, 13 (микрорайон Вышка-2, Мотовилихинский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lineRule="auto" w:line="24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Указанный земельный участок находится в зоне действия региональной системы оповещения населения города Перми, установленной по ул. Евгения Пермяка, 1а – 1500 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от 19.06.2025 № 059-10-01-27/3-1310).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highlight w:val="white"/>
                <w:lang w:val="ru-RU" w:eastAsia="ru-RU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 в мкр. Вышка 2.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(Аналогичная информация отражена в письме д</w:t>
            </w: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auto"/>
                <w:sz w:val="24"/>
                <w:szCs w:val="24"/>
                <w:highlight w:val="white"/>
                <w:lang w:val="ru-RU" w:eastAsia="ru-RU"/>
              </w:rPr>
              <w:t>от 23.06.2025 № 059-04-17/3-545-ри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).</w:t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, спальни - 8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(на двух человек - 10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); кухни - 8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 xml:space="preserve">Согласно пункту 6.2 СП 55.13330.2016 высота (от пола </w:t>
              <w:br/>
              <w:t xml:space="preserve">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</w:t>
              <w:br/>
              <w:t xml:space="preserve">2,7 м, а в других климатических районах строительства - </w:t>
              <w:br/>
              <w:t xml:space="preserve">не менее 2,5 м. Высота внутридомовых коридоров, холлов, передних, антресолей должна составлять не менее 2,1 м, </w:t>
              <w:br/>
              <w:t>а высота пути эвакуации - не менее 2,2 м.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жилых комнатах и кухнях, расположенных в этажах </w:t>
              <w:br/>
              <w:t xml:space="preserve">с наклонными ограждающими конструкциями или </w:t>
              <w:br/>
              <w:t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Согласно информации, содержащейся в ГПЗУ </w:t>
              <w:br/>
              <w:t>от 30.06.2025 № РФ-59-2-03-0-00-2025-1494-0: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предельная высота жилой застройки – согласно документации по планировке территории, утвержденной постановлением администрации города Перми </w:t>
              <w:br/>
              <w:t>от 23.12.2015 № 1102, до 10,5 м;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</w:t>
            </w:r>
            <w:r>
              <w:rPr>
                <w:color w:val="auto"/>
                <w:sz w:val="24"/>
                <w:highlight w:val="white"/>
              </w:rPr>
              <w:t>инимальный отступ от границ Уч</w:t>
            </w:r>
            <w:r>
              <w:rPr>
                <w:color w:val="auto"/>
                <w:sz w:val="24"/>
              </w:rPr>
              <w:t xml:space="preserve">астка </w:t>
              <w:br/>
              <w:t xml:space="preserve">до места допустимого размещения зданий, строений </w:t>
              <w:br/>
            </w:r>
            <w:r>
              <w:rPr>
                <w:color w:val="auto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val="auto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здания на высоте </w:t>
              <w:br/>
              <w:t xml:space="preserve">не менее 4,5 м над территорией общего пользования, составляет не более 1,2 м от красной линии. </w:t>
              <w:br/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themeColor="text2" w:themeTint="99"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Участок расположен на территории, в границах которой предусматриваются </w:t>
            </w:r>
            <w:r>
              <w:rPr>
                <w:b/>
                <w:color w:val="auto"/>
                <w:sz w:val="24"/>
                <w:szCs w:val="24"/>
              </w:rPr>
              <w:t>требования к архитектурно-градостроительному облику объекта капитального строительства</w:t>
            </w:r>
            <w:r>
              <w:rPr>
                <w:color w:val="auto"/>
                <w:sz w:val="24"/>
                <w:szCs w:val="24"/>
              </w:rPr>
              <w:t xml:space="preserve"> в соответствии со статьей 52.9 Правил землепользования и застройки.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/>
                <w:color w:themeColor="text2" w:themeTint="99"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При проектировании и строительстве необходимо учитывать требования к архитектурно-градостроительному облику объектов капитального строительства, утвержденные постановлением Правительства Пермского края от 21.08.2023 № 633-п «О внесении изменений в ПЗЗ».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Информация о требованиях архитектурно-градостроительного облика объекта указана в п. 12 градостроительного плана земельного участка </w:t>
            </w:r>
            <w:r>
              <w:rPr>
                <w:b/>
                <w:bCs/>
                <w:color w:val="auto"/>
                <w:sz w:val="24"/>
                <w:szCs w:val="24"/>
              </w:rPr>
              <w:t>от 30.06.2025 № РФ-59-2-03-0-00-2025-1494-0 (далее – ГПЗУ).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</w:t>
              <w:br/>
              <w:t>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</w:t>
              <w:br/>
              <w:t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на сайте: </w:t>
            </w:r>
            <w:hyperlink r:id="rId11" w:tgtFrame="https://">
              <w:r>
                <w:rPr>
                  <w:rStyle w:val="Hyperlink"/>
                  <w:color w:val="auto"/>
                  <w:sz w:val="24"/>
                  <w:szCs w:val="24"/>
                </w:rPr>
                <w:t>https://</w:t>
              </w:r>
            </w:hyperlink>
            <w:r>
              <w:rPr>
                <w:color w:val="auto"/>
                <w:sz w:val="24"/>
                <w:szCs w:val="24"/>
              </w:rPr>
              <w:t xml:space="preserve"> портал-тп.рф, через Мобильное приложение ПАО «Россети» или при очном приеме в Центре обслуживания клиентов филиала «Россети» или рот очном приеме в Центре обслуживания клиентов филиала «Россети Урал» - «Пермэнерго» по адресу: г. Пермь, ул. Камчатовская, д. 26, а также почтовым отправлением по адресу: 314016, г. Пермь, ул. Камчатовская, 26. По дополнительным вопросам телефон контакт-центра: 8-800-220-0-220 (круглосуточно и бесплатно).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val="auto"/>
                <w:sz w:val="24"/>
                <w:szCs w:val="24"/>
              </w:rPr>
              <w:t>городские электрические сети»</w:t>
            </w:r>
            <w:r>
              <w:rPr>
                <w:color w:val="auto"/>
                <w:sz w:val="24"/>
                <w:szCs w:val="24"/>
              </w:rPr>
              <w:t xml:space="preserve">  от 30.06.2025 № ПЭ/ПГЭС/01/22/7831).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>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>ПАО «Т Плюс»</w:t>
            </w:r>
            <w:r>
              <w:rPr>
                <w:color w:val="auto"/>
                <w:sz w:val="24"/>
                <w:szCs w:val="24"/>
              </w:rPr>
              <w:t xml:space="preserve"> от 26.06.2025 № 51000-32-02254).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Техническая возможность подключения объекта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auto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auto"/>
                <w:sz w:val="24"/>
                <w:szCs w:val="24"/>
              </w:rPr>
              <w:t xml:space="preserve"> от 30.06.2025 № 059-04-25/3-108-ри).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val="auto"/>
                <w:sz w:val="24"/>
                <w:szCs w:val="24"/>
              </w:rPr>
              <w:t xml:space="preserve"> от 08.07.2025 № ПФ-4747).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hd w:val="clear" w:color="FFFFFF" w:themeColor="background1" w:fill="FFFFFF" w:themeFill="background1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>О наличии технической возможности подключения сетей водоснабжения и водоотведения с предполагаемой величиной нагрузки 1,0 м3/сут. сообщается следующее.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Ближайшей точкой присоединения к сетям водоснабжения, эксплуатируемой ООО «НОВОГОР-Прикамье», является водопровод Д-200 мм по ул. Омская, ориентировочно на расстоянии -133 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Ближайшей точкой присоединения к сетям водоотведения, эксплуатируемой ООО «НОВОГОР-Прикамье», является сеть канализации Д-300 мм по ул. Омская - ул. Сигаева, ориентировочно на расстоянии - 108 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  <w:br/>
              <w:t>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Обязательства ООО «НОВОГОР-Прикамье», </w:t>
              <w:br/>
              <w:t xml:space="preserve">по обеспечению подключения объекта капитального строительства к сетям водопровода и канализации </w:t>
              <w:br/>
              <w:t>в соответствии с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Кроме того, ООО «НОВОГОР-Прикамье» не располагает сведениями о наличии сетей 3-х лиц в границах вышеуказанного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 w:val="false"/>
                <w:color w:val="auto"/>
                <w:sz w:val="24"/>
                <w:szCs w:val="24"/>
              </w:rPr>
              <w:t xml:space="preserve">ООО «НОВОГОР-Прикамье» 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>от 24.06.2025 № 110-9086).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Гашкова, д. 45),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В границах Участка сети связи ПАО «Ростелеком» </w:t>
              <w:br/>
              <w:t>отсутствуют.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Для получения технических условий на подключение </w:t>
              <w:br/>
              <w:t xml:space="preserve">к сетям связи необходимо направить запрос </w:t>
              <w:br/>
              <w:t xml:space="preserve">на электронный адрес: </w:t>
            </w:r>
            <w:hyperlink r:id="rId12">
              <w:r>
                <w:rPr>
                  <w:rStyle w:val="Hyperlink"/>
                  <w:b w:val="false"/>
                  <w:bCs w:val="false"/>
                  <w:color w:val="auto"/>
                  <w:sz w:val="24"/>
                  <w:szCs w:val="24"/>
                </w:rPr>
                <w:t>perm-mail@ural.rt.ru</w:t>
              </w:r>
            </w:hyperlink>
            <w:r>
              <w:rPr>
                <w:b w:val="false"/>
                <w:bCs w:val="false"/>
                <w:color w:val="auto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>от 24.06.2025 № 01/05/92837/25).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1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2 126 000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106 300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1 063 000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1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19.09.2025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21.10.2025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22.10.2025.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23.10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3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19.09.2025 по 21.10.2025.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19.09.2025 по 21.10.2025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2)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3)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 (копии </w:t>
      </w:r>
      <w:r>
        <w:rPr>
          <w:b w:val="false"/>
          <w:shd w:fill="auto" w:val="clear"/>
        </w:rPr>
        <w:t xml:space="preserve">документов, удостоверяющих личность заявителя (для граждан); </w:t>
      </w:r>
      <w:r>
        <w:rPr>
          <w:b w:val="false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</w:rPr>
      </w:pPr>
      <w:r>
        <w:rPr>
          <w:sz w:val="24"/>
          <w:szCs w:val="24"/>
        </w:rPr>
        <w:t>На каждый лот представляется отдельный пакет документов.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 и сведения, связанные с получением регистрации на универсальной торговой платформе и проведением закупок/продаж, направляются заявителями, пользователями, оператором электронной площадки либо размещаются ими на универсальной торговой платформе в форме электронных документов (п. 10.1.1.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Пользователи принимают, что в случае наличия требований к формату и содержанию электронного документа, в системе используются электронные документы установленного формата (п. 10.2.3.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Заявка подается в виде электронного документа, подписанного электронной подписью заявителя (п. 3.2.2.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Заявитель заполняет электронную форму заявки, при</w:t>
      </w:r>
      <w:r>
        <w:rPr>
          <w:shd w:fill="auto" w:val="clear"/>
        </w:rPr>
        <w:t>кладывает предусмотренные извещением о проведении аукциона файлы документов (при необходимости). Документы и сведения из регистрационных данных заявителя на универсальной торговой платформе, актуальные на дату и время окончания приема заявок, направляются оператором электронной площадки вместе с заявкой организатору аукциона после окончания приема заявок (п. 3.2.3.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1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4"/>
      <w:headerReference w:type="first" r:id="rId15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16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s://" TargetMode="External"/><Relationship Id="rId12" Type="http://schemas.openxmlformats.org/officeDocument/2006/relationships/hyperlink" Target="mailto:perm-mail@ural.rt.ru" TargetMode="External"/><Relationship Id="rId13" Type="http://schemas.openxmlformats.org/officeDocument/2006/relationships/hyperlink" Target="http://utp.sberbank-ast.ru/AP/Notice/653/Requisites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LibreOffice/7.6.7.2$Linux_X86_64 LibreOffice_project/60$Build-2</Application>
  <AppVersion>15.0000</AppVersion>
  <Pages>16</Pages>
  <Words>5730</Words>
  <Characters>40496</Characters>
  <CharactersWithSpaces>46102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2025-09-18T17:43:00Z</dcterms:modified>
  <cp:revision>303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