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ind w:firstLine="0"/>
        <w:spacing w:line="280" w:lineRule="exact"/>
        <w:rPr>
          <w:b w:val="0"/>
          <w:szCs w:val="24"/>
        </w:rPr>
        <w:outlineLvl w:val="0"/>
      </w:pPr>
      <w:r>
        <w:rPr>
          <w:b w:val="0"/>
          <w:szCs w:val="24"/>
        </w:rPr>
        <w:t xml:space="preserve">Департамент имущественных отношений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администрации г</w:t>
      </w:r>
      <w:r>
        <w:rPr>
          <w:b w:val="0"/>
          <w:szCs w:val="24"/>
        </w:rPr>
        <w:t xml:space="preserve">орода</w:t>
      </w:r>
      <w:r>
        <w:rPr>
          <w:b w:val="0"/>
          <w:szCs w:val="24"/>
        </w:rPr>
        <w:t xml:space="preserve"> Перми</w:t>
      </w:r>
      <w:r>
        <w:rPr>
          <w:b w:val="0"/>
          <w:szCs w:val="24"/>
        </w:rPr>
      </w:r>
    </w:p>
    <w:p>
      <w:pPr>
        <w:pStyle w:val="759"/>
        <w:ind w:firstLine="0"/>
        <w:spacing w:line="280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52"/>
        <w:jc w:val="center"/>
        <w:rPr>
          <w:b/>
        </w:rPr>
      </w:pPr>
      <w:r>
        <w:rPr>
          <w:b/>
        </w:rPr>
        <w:t xml:space="preserve">ПРОТОКОЛ</w:t>
      </w:r>
      <w:r>
        <w:rPr>
          <w:b/>
        </w:rPr>
      </w:r>
    </w:p>
    <w:p>
      <w:pPr>
        <w:pStyle w:val="781"/>
        <w:ind w:firstLine="0"/>
        <w:jc w:val="center"/>
        <w:spacing w:line="240" w:lineRule="exact"/>
        <w:widowControl/>
        <w:rPr>
          <w:rStyle w:val="782"/>
          <w:color w:val="000000"/>
          <w:sz w:val="24"/>
          <w:szCs w:val="24"/>
        </w:rPr>
      </w:pPr>
      <w:r>
        <w:rPr>
          <w:rStyle w:val="782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782"/>
          <w:color w:val="000000"/>
          <w:sz w:val="24"/>
          <w:szCs w:val="24"/>
        </w:rPr>
      </w:r>
    </w:p>
    <w:p>
      <w:pPr>
        <w:pStyle w:val="759"/>
        <w:ind w:firstLine="0"/>
        <w:spacing w:line="280" w:lineRule="exac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</w:p>
    <w:p>
      <w:pPr>
        <w:pStyle w:val="752"/>
        <w:jc w:val="both"/>
        <w:spacing w:line="280" w:lineRule="exact"/>
      </w:pPr>
      <w:r>
        <w:t xml:space="preserve">г.</w:t>
      </w:r>
      <w:r>
        <w:t xml:space="preserve"> </w:t>
      </w:r>
      <w:r>
        <w:t xml:space="preserve">Пермь</w:t>
        <w:tab/>
        <w:t xml:space="preserve">                                                                  </w:t>
      </w:r>
      <w:r>
        <w:t xml:space="preserve">         </w:t>
      </w:r>
      <w:r>
        <w:t xml:space="preserve">               </w:t>
      </w:r>
      <w:r>
        <w:t xml:space="preserve">           </w:t>
      </w:r>
      <w:r>
        <w:t xml:space="preserve">        </w:t>
      </w:r>
      <w:r>
        <w:t xml:space="preserve">          </w:t>
      </w:r>
      <w:r>
        <w:t xml:space="preserve">   </w:t>
      </w:r>
      <w:r>
        <w:t xml:space="preserve">22.09</w:t>
      </w:r>
      <w:r>
        <w:t xml:space="preserve">.2025</w:t>
      </w:r>
      <w:r/>
    </w:p>
    <w:p>
      <w:pPr>
        <w:pStyle w:val="752"/>
        <w:jc w:val="both"/>
        <w:spacing w:line="280" w:lineRule="exact"/>
      </w:pPr>
      <w:r>
        <w:t xml:space="preserve">             </w:t>
      </w:r>
      <w:r/>
    </w:p>
    <w:p>
      <w:pPr>
        <w:pStyle w:val="781"/>
        <w:ind w:firstLine="709"/>
        <w:jc w:val="both"/>
        <w:spacing w:line="240" w:lineRule="auto"/>
        <w:widowControl/>
      </w:pPr>
      <w:r>
        <w:rPr>
          <w:rStyle w:val="782"/>
          <w:b w:val="0"/>
          <w:color w:val="000000"/>
          <w:sz w:val="24"/>
          <w:szCs w:val="24"/>
        </w:rPr>
        <w:t xml:space="preserve">Комисси</w:t>
      </w:r>
      <w:r>
        <w:rPr>
          <w:rStyle w:val="782"/>
          <w:b w:val="0"/>
          <w:color w:val="000000"/>
          <w:sz w:val="24"/>
          <w:szCs w:val="24"/>
        </w:rPr>
        <w:t xml:space="preserve">я</w:t>
      </w:r>
      <w:r>
        <w:rPr>
          <w:rStyle w:val="782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t xml:space="preserve">, утвержденная приказом начальника департамента имущественных отношений администрации города Перми от </w:t>
      </w:r>
      <w:r>
        <w:t xml:space="preserve">22.08.2022</w:t>
      </w:r>
      <w:r>
        <w:t xml:space="preserve"> № </w:t>
      </w:r>
      <w:r>
        <w:t xml:space="preserve">059-19-01-11-113</w:t>
      </w:r>
      <w:r>
        <w:t xml:space="preserve"> (в ред. от 09.08.2024)</w:t>
      </w:r>
      <w:r>
        <w:t xml:space="preserve">, в составе:</w:t>
      </w:r>
      <w:r/>
    </w:p>
    <w:p>
      <w:pPr>
        <w:pStyle w:val="781"/>
        <w:ind w:firstLine="709"/>
        <w:jc w:val="both"/>
        <w:spacing w:line="240" w:lineRule="exact"/>
        <w:widowControl/>
      </w:pPr>
      <w:r/>
      <w:r/>
    </w:p>
    <w:p>
      <w:pPr>
        <w:pStyle w:val="760"/>
        <w:ind w:left="851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Хаткевича А.А.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начальника департамента;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60"/>
        <w:ind w:left="851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Меденниковой С.В.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60"/>
        <w:ind w:left="851"/>
        <w:jc w:val="both"/>
        <w:tabs>
          <w:tab w:val="left" w:pos="708" w:leader="none"/>
        </w:tabs>
        <w:rPr>
          <w:sz w:val="20"/>
          <w:szCs w:val="20"/>
          <w:highlight w:val="none"/>
        </w:rPr>
      </w:pPr>
      <w:r>
        <w:rPr>
          <w:sz w:val="24"/>
          <w:szCs w:val="24"/>
          <w:lang w:val="ru-RU"/>
        </w:rPr>
        <w:t xml:space="preserve">Доценко Е.В.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0"/>
        <w:ind w:left="851"/>
        <w:jc w:val="both"/>
        <w:tabs>
          <w:tab w:val="left" w:pos="708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4"/>
          <w:szCs w:val="24"/>
          <w:lang w:val="ru-RU"/>
        </w:rPr>
        <w:t xml:space="preserve">Павловой О.И.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;</w:t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752"/>
        <w:ind w:left="851"/>
        <w:spacing w:line="280" w:lineRule="exact"/>
        <w:tabs>
          <w:tab w:val="left" w:pos="2805" w:leader="none"/>
        </w:tabs>
        <w:rPr>
          <w:lang w:eastAsia="en-US"/>
        </w:rPr>
      </w:pPr>
      <w:r>
        <w:t xml:space="preserve">Селезневой Е.Ю., </w:t>
      </w:r>
      <w:r>
        <w:t xml:space="preserve">консультанта</w:t>
      </w:r>
      <w:r>
        <w:t xml:space="preserve"> отдела по распоряжению муниципальным имуществом управления по распоряжению муниципальным имуществом</w:t>
      </w:r>
      <w:r>
        <w:t xml:space="preserve">.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781"/>
        <w:ind w:firstLine="0"/>
        <w:jc w:val="both"/>
        <w:spacing w:line="240" w:lineRule="auto"/>
        <w:widowControl/>
      </w:pPr>
      <w:r/>
      <w:r/>
      <w:r/>
    </w:p>
    <w:p>
      <w:pPr>
        <w:pStyle w:val="760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</w:p>
    <w:p>
      <w:pPr>
        <w:pStyle w:val="760"/>
        <w:ind w:left="0"/>
        <w:tabs>
          <w:tab w:val="left" w:pos="70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760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23.09</w:t>
      </w:r>
      <w:r>
        <w:rPr>
          <w:sz w:val="24"/>
          <w:szCs w:val="24"/>
          <w:lang w:val="ru-RU"/>
        </w:rPr>
        <w:t xml:space="preserve">.2025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60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52"/>
        <w:jc w:val="both"/>
      </w:pPr>
      <w:r>
        <w:rPr>
          <w:b/>
        </w:rPr>
        <w:t xml:space="preserve">по лоту № 1 </w:t>
      </w:r>
      <w:r>
        <w:t xml:space="preserve">–</w:t>
      </w:r>
      <w:r>
        <w:t xml:space="preserve"> </w:t>
      </w:r>
      <w:r/>
    </w:p>
    <w:p>
      <w:pPr>
        <w:pStyle w:val="75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Встроенн</w:t>
      </w:r>
      <w:r>
        <w:rPr>
          <w:shd w:val="clear" w:color="auto" w:fill="ffffff"/>
        </w:rPr>
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75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2</w:t>
      </w:r>
      <w:r>
        <w:rPr>
          <w:b/>
        </w:rPr>
        <w:t xml:space="preserve">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</w:pPr>
      <w:r/>
      <w:r/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  <w:rPr>
          <w:b/>
        </w:rPr>
      </w:pPr>
      <w:r>
        <w:rPr>
          <w:b/>
        </w:rPr>
        <w:t xml:space="preserve">по лоту № 3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Встроенные нежилые помещения общей площадью 14 кв. м (кадастровый номер 59:01:2912530:2250) в подвале 5-этажного многоквартирного дом</w:t>
      </w:r>
      <w:r>
        <w:t xml:space="preserve">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</w:pPr>
      <w:r/>
      <w:r/>
    </w:p>
    <w:p>
      <w:pPr>
        <w:pStyle w:val="752"/>
        <w:jc w:val="both"/>
      </w:pPr>
      <w:r/>
      <w:r/>
    </w:p>
    <w:p>
      <w:pPr>
        <w:jc w:val="both"/>
      </w:pPr>
      <w:r/>
      <w:r/>
    </w:p>
    <w:p>
      <w:pPr>
        <w:pStyle w:val="752"/>
        <w:jc w:val="both"/>
      </w:pPr>
      <w:r/>
      <w:r/>
    </w:p>
    <w:p>
      <w:pPr>
        <w:pStyle w:val="75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4</w:t>
      </w:r>
      <w:r>
        <w:rPr>
          <w:b/>
        </w:rPr>
        <w:t xml:space="preserve">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</w:pPr>
      <w:r/>
      <w:r/>
    </w:p>
    <w:p>
      <w:pPr>
        <w:pStyle w:val="75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ind w:firstLine="708"/>
        <w:jc w:val="both"/>
      </w:pPr>
      <w:r/>
      <w:r/>
    </w:p>
    <w:p>
      <w:pPr>
        <w:pStyle w:val="75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116,2 кв. м (кадастровый номер 59:01:1713044:1696)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</w:pPr>
      <w:r/>
      <w:r/>
    </w:p>
    <w:p>
      <w:pPr>
        <w:pStyle w:val="75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7</w:t>
      </w:r>
      <w:r>
        <w:rPr>
          <w:b/>
        </w:rPr>
        <w:t xml:space="preserve"> – </w:t>
      </w:r>
      <w:r>
        <w:rPr>
          <w:b/>
        </w:rPr>
      </w:r>
    </w:p>
    <w:p>
      <w:pPr>
        <w:pStyle w:val="752"/>
        <w:jc w:val="both"/>
        <w:rPr>
          <w:b/>
        </w:rPr>
      </w:pPr>
      <w:r>
        <w:t xml:space="preserve">Встрое</w:t>
      </w:r>
      <w:r>
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b/>
        </w:rPr>
      </w:r>
      <w:r>
        <w:rPr>
          <w:b/>
        </w:rPr>
      </w:r>
    </w:p>
    <w:p>
      <w:pPr>
        <w:pStyle w:val="7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752"/>
        <w:jc w:val="both"/>
      </w:pPr>
      <w:r>
        <w:t xml:space="preserve">Заявки не поступили.</w:t>
      </w:r>
      <w:r/>
    </w:p>
    <w:p>
      <w:pPr>
        <w:pStyle w:val="752"/>
        <w:jc w:val="both"/>
      </w:pPr>
      <w:r/>
      <w:r/>
    </w:p>
    <w:p>
      <w:pPr>
        <w:pStyle w:val="752"/>
        <w:ind w:firstLine="708"/>
        <w:jc w:val="both"/>
      </w:pPr>
      <w:r>
        <w:t xml:space="preserve">Комиссия решила: </w:t>
      </w:r>
      <w:r/>
    </w:p>
    <w:p>
      <w:pPr>
        <w:pStyle w:val="763"/>
        <w:numPr>
          <w:ilvl w:val="0"/>
          <w:numId w:val="40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несостоявшимся по лотам № 1-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в связи с тем, что на участие в аукционе по данным лотам не поступило ни одной заявки.</w:t>
      </w:r>
      <w:r>
        <w:rPr>
          <w:rFonts w:ascii="Times New Roman" w:hAnsi="Times New Roman"/>
          <w:sz w:val="24"/>
          <w:szCs w:val="24"/>
        </w:rPr>
      </w:r>
    </w:p>
    <w:p>
      <w:pPr>
        <w:pStyle w:val="752"/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752"/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7655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</w:r>
      <w:r>
        <w:rPr>
          <w:lang w:eastAsia="en-US"/>
        </w:rPr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7655" w:leader="none"/>
        </w:tabs>
        <w:rPr>
          <w:highlight w:val="none"/>
          <w:lang w:eastAsia="en-US"/>
        </w:rPr>
      </w:pPr>
      <w:r>
        <w:rPr>
          <w:lang w:eastAsia="en-US"/>
        </w:rPr>
        <w:tab/>
      </w: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>
        <w:rPr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  <w:rPr>
          <w:highlight w:val="none"/>
          <w:lang w:eastAsia="en-US"/>
        </w:rPr>
      </w:pPr>
      <w:r>
        <w:rPr>
          <w:lang w:eastAsia="en-US"/>
        </w:rPr>
        <w:tab/>
        <w:tab/>
        <w:t xml:space="preserve">Е.В. Доценко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highlight w:val="none"/>
          <w:lang w:eastAsia="en-US"/>
        </w:rPr>
        <w:tab/>
        <w:tab/>
        <w:t xml:space="preserve">О.И. Павлова</w:t>
      </w:r>
      <w:r>
        <w:rPr>
          <w:highlight w:val="none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52"/>
        <w:ind w:left="7654" w:right="0" w:hanging="7799"/>
        <w:tabs>
          <w:tab w:val="left" w:pos="7825" w:leader="none"/>
        </w:tabs>
        <w:rPr>
          <w:bCs/>
          <w:color w:val="000000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bCs/>
          <w:color w:val="000000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separate"/>
    </w:r>
    <w:r>
      <w:rPr>
        <w:rStyle w:val="766"/>
      </w:rPr>
      <w:t xml:space="preserve">2</w:t>
    </w:r>
    <w:r>
      <w:rPr>
        <w:rStyle w:val="766"/>
      </w:rPr>
      <w:fldChar w:fldCharType="end"/>
    </w:r>
    <w:r>
      <w:rPr>
        <w:rStyle w:val="766"/>
      </w:rPr>
    </w:r>
    <w:r>
      <w:rPr>
        <w:rStyle w:val="766"/>
      </w:rPr>
    </w:r>
  </w:p>
  <w:p>
    <w:pPr>
      <w:pStyle w:val="76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end"/>
    </w:r>
    <w:r>
      <w:rPr>
        <w:rStyle w:val="766"/>
      </w:rPr>
    </w:r>
    <w:r>
      <w:rPr>
        <w:rStyle w:val="766"/>
      </w:rPr>
    </w:r>
  </w:p>
  <w:p>
    <w:pPr>
      <w:pStyle w:val="7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2"/>
    <w:next w:val="7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2"/>
    <w:next w:val="7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2"/>
    <w:next w:val="7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2"/>
    <w:next w:val="7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2"/>
    <w:next w:val="7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2"/>
    <w:next w:val="7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2"/>
    <w:next w:val="7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2"/>
    <w:next w:val="7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2"/>
    <w:next w:val="7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2"/>
    <w:next w:val="7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52"/>
    <w:next w:val="7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52"/>
    <w:next w:val="7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2"/>
    <w:next w:val="7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5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52"/>
    <w:next w:val="7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52"/>
    <w:next w:val="7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2"/>
    <w:next w:val="7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2"/>
    <w:next w:val="7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2"/>
    <w:next w:val="7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2"/>
    <w:next w:val="7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2"/>
    <w:next w:val="7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2"/>
    <w:next w:val="7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2"/>
    <w:next w:val="7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2"/>
    <w:next w:val="7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2"/>
    <w:next w:val="752"/>
    <w:uiPriority w:val="99"/>
    <w:unhideWhenUsed/>
    <w:pPr>
      <w:spacing w:after="0" w:afterAutospacing="0"/>
    </w:pPr>
  </w:style>
  <w:style w:type="paragraph" w:styleId="752" w:default="1">
    <w:name w:val="Normal"/>
    <w:next w:val="752"/>
    <w:link w:val="752"/>
    <w:qFormat/>
    <w:rPr>
      <w:sz w:val="24"/>
      <w:szCs w:val="24"/>
      <w:lang w:val="ru-RU" w:eastAsia="ru-RU" w:bidi="ar-SA"/>
    </w:rPr>
  </w:style>
  <w:style w:type="paragraph" w:styleId="753">
    <w:name w:val="Заголовок 1"/>
    <w:basedOn w:val="752"/>
    <w:next w:val="752"/>
    <w:link w:val="780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54">
    <w:name w:val="Заголовок 3"/>
    <w:basedOn w:val="752"/>
    <w:next w:val="752"/>
    <w:link w:val="752"/>
    <w:qFormat/>
    <w:pPr>
      <w:jc w:val="both"/>
      <w:keepNext/>
      <w:outlineLvl w:val="2"/>
    </w:pPr>
    <w:rPr>
      <w:b/>
      <w:bCs/>
    </w:rPr>
  </w:style>
  <w:style w:type="paragraph" w:styleId="755">
    <w:name w:val="Заголовок 4"/>
    <w:basedOn w:val="752"/>
    <w:next w:val="752"/>
    <w:link w:val="752"/>
    <w:qFormat/>
    <w:pPr>
      <w:jc w:val="both"/>
      <w:keepNext/>
      <w:outlineLvl w:val="3"/>
    </w:pPr>
    <w:rPr>
      <w:sz w:val="28"/>
    </w:rPr>
  </w:style>
  <w:style w:type="character" w:styleId="756">
    <w:name w:val="Основной шрифт абзаца"/>
    <w:next w:val="756"/>
    <w:link w:val="752"/>
    <w:semiHidden/>
  </w:style>
  <w:style w:type="table" w:styleId="757">
    <w:name w:val="Обычная таблица"/>
    <w:next w:val="757"/>
    <w:link w:val="752"/>
    <w:semiHidden/>
    <w:tblPr/>
  </w:style>
  <w:style w:type="numbering" w:styleId="758">
    <w:name w:val="Нет списка"/>
    <w:next w:val="758"/>
    <w:link w:val="752"/>
    <w:semiHidden/>
  </w:style>
  <w:style w:type="paragraph" w:styleId="759">
    <w:name w:val="Название"/>
    <w:basedOn w:val="752"/>
    <w:next w:val="759"/>
    <w:link w:val="752"/>
    <w:qFormat/>
    <w:pPr>
      <w:ind w:firstLine="567"/>
      <w:jc w:val="center"/>
    </w:pPr>
    <w:rPr>
      <w:b/>
      <w:szCs w:val="20"/>
    </w:rPr>
  </w:style>
  <w:style w:type="paragraph" w:styleId="760">
    <w:name w:val="Основной текст с отступом"/>
    <w:basedOn w:val="752"/>
    <w:next w:val="760"/>
    <w:link w:val="774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761">
    <w:name w:val="Основной текст с отступом 2"/>
    <w:basedOn w:val="752"/>
    <w:next w:val="761"/>
    <w:link w:val="752"/>
    <w:pPr>
      <w:ind w:left="4962" w:hanging="4395"/>
      <w:jc w:val="both"/>
    </w:pPr>
    <w:rPr>
      <w:szCs w:val="20"/>
    </w:rPr>
  </w:style>
  <w:style w:type="paragraph" w:styleId="762">
    <w:name w:val="Основной текст с отступом 3"/>
    <w:basedOn w:val="752"/>
    <w:next w:val="762"/>
    <w:link w:val="773"/>
    <w:pPr>
      <w:ind w:firstLine="567"/>
      <w:jc w:val="both"/>
    </w:pPr>
    <w:rPr>
      <w:szCs w:val="20"/>
      <w:lang w:val="en-US" w:eastAsia="en-US"/>
    </w:rPr>
  </w:style>
  <w:style w:type="paragraph" w:styleId="763">
    <w:name w:val="Текст"/>
    <w:basedOn w:val="752"/>
    <w:next w:val="763"/>
    <w:link w:val="772"/>
    <w:rPr>
      <w:rFonts w:ascii="Courier New" w:hAnsi="Courier New"/>
      <w:sz w:val="20"/>
      <w:szCs w:val="20"/>
    </w:rPr>
  </w:style>
  <w:style w:type="paragraph" w:styleId="764">
    <w:name w:val="Основной текст"/>
    <w:basedOn w:val="752"/>
    <w:next w:val="764"/>
    <w:link w:val="775"/>
    <w:pPr>
      <w:jc w:val="right"/>
    </w:pPr>
    <w:rPr>
      <w:sz w:val="28"/>
      <w:lang w:val="en-US" w:eastAsia="en-US"/>
    </w:rPr>
  </w:style>
  <w:style w:type="paragraph" w:styleId="765">
    <w:name w:val="Нижний колонтитул"/>
    <w:basedOn w:val="752"/>
    <w:next w:val="765"/>
    <w:link w:val="752"/>
    <w:pPr>
      <w:tabs>
        <w:tab w:val="center" w:pos="4677" w:leader="none"/>
        <w:tab w:val="right" w:pos="9355" w:leader="none"/>
      </w:tabs>
    </w:pPr>
  </w:style>
  <w:style w:type="character" w:styleId="766">
    <w:name w:val="Номер страницы"/>
    <w:basedOn w:val="756"/>
    <w:next w:val="766"/>
    <w:link w:val="752"/>
  </w:style>
  <w:style w:type="paragraph" w:styleId="767">
    <w:name w:val="Знак Знак Знак Знак Знак Знак Знак Знак Знак Знак Знак Знак"/>
    <w:basedOn w:val="752"/>
    <w:next w:val="767"/>
    <w:link w:val="752"/>
    <w:rPr>
      <w:rFonts w:ascii="Verdana" w:hAnsi="Verdana" w:cs="Verdana"/>
      <w:sz w:val="20"/>
      <w:szCs w:val="20"/>
      <w:lang w:val="en-US" w:eastAsia="en-US"/>
    </w:rPr>
  </w:style>
  <w:style w:type="paragraph" w:styleId="768">
    <w:name w:val="Основной текст 2"/>
    <w:basedOn w:val="752"/>
    <w:next w:val="768"/>
    <w:link w:val="776"/>
    <w:pPr>
      <w:spacing w:after="120" w:line="480" w:lineRule="auto"/>
    </w:pPr>
    <w:rPr>
      <w:lang w:val="en-US" w:eastAsia="en-US"/>
    </w:rPr>
  </w:style>
  <w:style w:type="paragraph" w:styleId="769">
    <w:name w:val=" Знак Знак Знак Знак Знак Знак Знак Знак Знак Знак Знак Знак"/>
    <w:basedOn w:val="752"/>
    <w:next w:val="769"/>
    <w:link w:val="752"/>
    <w:rPr>
      <w:rFonts w:ascii="Verdana" w:hAnsi="Verdana" w:cs="Verdana"/>
      <w:sz w:val="20"/>
      <w:szCs w:val="20"/>
      <w:lang w:val="en-US" w:eastAsia="en-US"/>
    </w:rPr>
  </w:style>
  <w:style w:type="table" w:styleId="770">
    <w:name w:val="Сетка таблицы"/>
    <w:basedOn w:val="757"/>
    <w:next w:val="770"/>
    <w:link w:val="752"/>
    <w:uiPriority w:val="59"/>
    <w:tblPr/>
  </w:style>
  <w:style w:type="paragraph" w:styleId="771">
    <w:name w:val="Текст выноски"/>
    <w:basedOn w:val="752"/>
    <w:next w:val="771"/>
    <w:link w:val="752"/>
    <w:semiHidden/>
    <w:rPr>
      <w:rFonts w:ascii="Tahoma" w:hAnsi="Tahoma" w:cs="Tahoma"/>
      <w:sz w:val="16"/>
      <w:szCs w:val="16"/>
    </w:rPr>
  </w:style>
  <w:style w:type="character" w:styleId="772">
    <w:name w:val="Текст Знак"/>
    <w:next w:val="772"/>
    <w:link w:val="763"/>
    <w:rPr>
      <w:rFonts w:ascii="Courier New" w:hAnsi="Courier New"/>
      <w:lang w:val="ru-RU" w:eastAsia="ru-RU" w:bidi="ar-SA"/>
    </w:rPr>
  </w:style>
  <w:style w:type="character" w:styleId="773">
    <w:name w:val="Основной текст с отступом 3 Знак"/>
    <w:next w:val="773"/>
    <w:link w:val="762"/>
    <w:rPr>
      <w:sz w:val="24"/>
    </w:rPr>
  </w:style>
  <w:style w:type="character" w:styleId="774">
    <w:name w:val="Основной текст с отступом Знак"/>
    <w:next w:val="774"/>
    <w:link w:val="760"/>
    <w:rPr>
      <w:sz w:val="28"/>
      <w:szCs w:val="28"/>
    </w:rPr>
  </w:style>
  <w:style w:type="character" w:styleId="775">
    <w:name w:val="Основной текст Знак"/>
    <w:next w:val="775"/>
    <w:link w:val="764"/>
    <w:rPr>
      <w:sz w:val="28"/>
      <w:szCs w:val="24"/>
    </w:rPr>
  </w:style>
  <w:style w:type="character" w:styleId="776">
    <w:name w:val="Основной текст 2 Знак"/>
    <w:next w:val="776"/>
    <w:link w:val="768"/>
    <w:rPr>
      <w:sz w:val="24"/>
      <w:szCs w:val="24"/>
    </w:rPr>
  </w:style>
  <w:style w:type="paragraph" w:styleId="777">
    <w:name w:val="ConsPlusNormal"/>
    <w:next w:val="777"/>
    <w:link w:val="752"/>
    <w:rPr>
      <w:b/>
      <w:bCs/>
      <w:sz w:val="28"/>
      <w:szCs w:val="28"/>
      <w:lang w:val="ru-RU" w:eastAsia="ru-RU" w:bidi="ar-SA"/>
    </w:rPr>
  </w:style>
  <w:style w:type="paragraph" w:styleId="778">
    <w:name w:val="Верхний колонтитул"/>
    <w:basedOn w:val="752"/>
    <w:next w:val="778"/>
    <w:link w:val="779"/>
    <w:pPr>
      <w:tabs>
        <w:tab w:val="center" w:pos="4677" w:leader="none"/>
        <w:tab w:val="right" w:pos="9355" w:leader="none"/>
      </w:tabs>
    </w:pPr>
  </w:style>
  <w:style w:type="character" w:styleId="779">
    <w:name w:val="Верхний колонтитул Знак"/>
    <w:next w:val="779"/>
    <w:link w:val="778"/>
    <w:rPr>
      <w:sz w:val="24"/>
      <w:szCs w:val="24"/>
    </w:rPr>
  </w:style>
  <w:style w:type="character" w:styleId="780">
    <w:name w:val="Заголовок 1 Знак"/>
    <w:next w:val="780"/>
    <w:link w:val="753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81">
    <w:name w:val="Style2"/>
    <w:basedOn w:val="752"/>
    <w:next w:val="781"/>
    <w:link w:val="752"/>
    <w:pPr>
      <w:ind w:firstLine="192"/>
      <w:spacing w:line="230" w:lineRule="exact"/>
      <w:widowControl w:val="off"/>
    </w:pPr>
  </w:style>
  <w:style w:type="character" w:styleId="782">
    <w:name w:val="Font Style26"/>
    <w:next w:val="782"/>
    <w:link w:val="752"/>
    <w:rPr>
      <w:rFonts w:ascii="Times New Roman" w:hAnsi="Times New Roman" w:cs="Times New Roman"/>
      <w:b/>
      <w:bCs/>
      <w:sz w:val="18"/>
      <w:szCs w:val="18"/>
    </w:rPr>
  </w:style>
  <w:style w:type="paragraph" w:styleId="783">
    <w:name w:val="Style4"/>
    <w:basedOn w:val="752"/>
    <w:next w:val="783"/>
    <w:link w:val="752"/>
    <w:pPr>
      <w:spacing w:line="230" w:lineRule="exact"/>
      <w:widowControl w:val="off"/>
    </w:pPr>
  </w:style>
  <w:style w:type="character" w:styleId="1160" w:default="1">
    <w:name w:val="Default Paragraph Font"/>
    <w:uiPriority w:val="1"/>
    <w:semiHidden/>
    <w:unhideWhenUsed/>
  </w:style>
  <w:style w:type="numbering" w:styleId="1161" w:default="1">
    <w:name w:val="No List"/>
    <w:uiPriority w:val="99"/>
    <w:semiHidden/>
    <w:unhideWhenUsed/>
  </w:style>
  <w:style w:type="table" w:styleId="11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150</cp:revision>
  <dcterms:created xsi:type="dcterms:W3CDTF">2016-06-29T05:17:00Z</dcterms:created>
  <dcterms:modified xsi:type="dcterms:W3CDTF">2025-09-17T05:25:45Z</dcterms:modified>
  <cp:version>983040</cp:version>
</cp:coreProperties>
</file>