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spacing w:after="0" w:line="276" w:lineRule="auto"/>
        <w:ind w:left="284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3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left="0" w:right="0" w:firstLine="567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59:01:3810190:154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площа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расположенный на землях населенных пунктов и находящийся по адресу: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1-я Логовая, з/у </w:t>
      </w:r>
      <w:r>
        <w:rPr>
          <w:rFonts w:ascii="Times New Roman" w:hAnsi="Times New Roman" w:cs="Times New Roman"/>
          <w:b/>
          <w:sz w:val="24"/>
          <w:szCs w:val="24"/>
        </w:rPr>
        <w:t xml:space="preserve">23а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– земельный участок), для индивидуального жи</w:t>
      </w:r>
      <w:r>
        <w:rPr>
          <w:rFonts w:ascii="Times New Roman" w:hAnsi="Times New Roman" w:cs="Times New Roman"/>
          <w:b/>
          <w:sz w:val="24"/>
          <w:szCs w:val="24"/>
        </w:rPr>
        <w:t xml:space="preserve">лищного строительства,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left="0" w:right="0" w:firstLine="567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территориальной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зоне индивидуальной жилой застройки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городского типа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(Ж-4).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зонах с особыми условиями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numId w:val="17"/>
          <w:ilvl w:val="0"/>
        </w:numPr>
        <w:spacing w:before="0" w:after="0" w:line="240" w:lineRule="auto"/>
        <w:ind w:right="0"/>
        <w:contextualSpacing w:val="0"/>
        <w:jc w:val="both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частично охранная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зона ВЛ 0,4 кВ от ТП4383,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ТП4384, от ТП4385, от ТП4386,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КЛ 0,4 кВ от ТП4383, от ТП4385, 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ТП4386 (электросетевой комплекс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электросетевого хозяйства и особых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"Подстанция 110/6кВ "Северная" с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линиями электропередачи,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трансформаторными подстанциями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распределительными пунктами)</w:t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913"/>
        <w:numPr>
          <w:numId w:val="17"/>
          <w:ilvl w:val="0"/>
        </w:numPr>
        <w:spacing w:before="0" w:after="0" w:line="240" w:lineRule="auto"/>
        <w:ind w:right="0"/>
        <w:contextualSpacing w:val="0"/>
        <w:jc w:val="both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  <w:t xml:space="preserve">частично </w:t>
      </w:r>
      <w:r>
        <w:rPr>
          <w:rFonts w:ascii="Times New Roman" w:hAnsi="Times New Roman" w:cs="Times New Roman"/>
          <w:sz w:val="24"/>
          <w:szCs w:val="24"/>
        </w:rPr>
        <w:t xml:space="preserve">охранная зона газопровода </w:t>
      </w:r>
      <w:r>
        <w:rPr>
          <w:rFonts w:ascii="Times New Roman" w:hAnsi="Times New Roman" w:cs="Times New Roman"/>
          <w:sz w:val="24"/>
          <w:szCs w:val="24"/>
        </w:rPr>
        <w:t xml:space="preserve">высокого, среднего и низкого </w:t>
      </w:r>
      <w:r>
        <w:rPr>
          <w:rFonts w:ascii="Times New Roman" w:hAnsi="Times New Roman" w:cs="Times New Roman"/>
          <w:sz w:val="24"/>
          <w:szCs w:val="24"/>
        </w:rPr>
        <w:t xml:space="preserve">давления, зона с особыми условиями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территорий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913"/>
        <w:numPr>
          <w:numId w:val="17"/>
          <w:ilvl w:val="0"/>
        </w:numPr>
        <w:spacing w:before="0" w:after="0" w:line="240" w:lineRule="auto"/>
        <w:ind w:right="0"/>
        <w:contextualSpacing w:val="0"/>
        <w:jc w:val="both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приаэродромная территория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аэродрома аэропорта Большое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Савино.</w:t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p>
      <w:pPr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    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  <w:highlight w:val="none"/>
        </w:rPr>
        <w:t xml:space="preserve">от </w:t>
      </w:r>
      <w:r>
        <w:rPr>
          <w:rFonts w:ascii="Times New Roman" w:hAnsi="Times New Roman"/>
          <w:color w:val="auto"/>
          <w:sz w:val="24"/>
          <w:highlight w:val="none"/>
        </w:rPr>
        <w:t xml:space="preserve">26.06.2025 </w:t>
      </w:r>
      <w:r>
        <w:rPr>
          <w:rFonts w:ascii="Times New Roman" w:hAnsi="Times New Roman"/>
          <w:color w:val="auto"/>
          <w:sz w:val="24"/>
          <w:highlight w:val="none"/>
        </w:rPr>
        <w:t xml:space="preserve">№ РФ-59-2-03-0-00-2025-1464-0</w:t>
      </w:r>
      <w:r>
        <w:rPr>
          <w:rFonts w:ascii="Times New Roman" w:hAnsi="Times New Roman"/>
          <w:sz w:val="24"/>
          <w:szCs w:val="24"/>
          <w:highlight w:val="none"/>
        </w:rPr>
        <w:t xml:space="preserve">, предельна</w:t>
      </w:r>
      <w:r>
        <w:rPr>
          <w:rFonts w:ascii="Times New Roman" w:hAnsi="Times New Roman"/>
          <w:sz w:val="24"/>
          <w:szCs w:val="24"/>
          <w:highlight w:val="none"/>
        </w:rPr>
        <w:t xml:space="preserve">я высота зданий, строений не более 10,5 м (</w:t>
      </w:r>
      <w:r>
        <w:rPr>
          <w:rFonts w:ascii="Times New Roman" w:hAnsi="Times New Roman"/>
          <w:sz w:val="24"/>
          <w:szCs w:val="24"/>
          <w:highlight w:val="none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  <w:highlight w:val="none"/>
        </w:rPr>
        <w:t xml:space="preserve">рации города Перми от 22.12.2017 № 1178</w:t>
      </w:r>
      <w:r>
        <w:rPr>
          <w:rFonts w:ascii="Times New Roman" w:hAnsi="Times New Roman"/>
          <w:sz w:val="24"/>
          <w:szCs w:val="24"/>
          <w:highlight w:val="none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 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30%.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З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емельный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участок по периметру частично огорожен деревянным забором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На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земельном участке расположено разрушенное строение из бревен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элементы фундамента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spacing w:after="0" w:line="240" w:lineRule="auto"/>
        <w:ind w:left="0" w:right="0" w:firstLine="283"/>
        <w:jc w:val="both"/>
        <w:rPr>
          <w:rFonts w:ascii="Times New Roman" w:hAnsi="Times New Roman"/>
          <w:b w:val="0"/>
          <w:bCs w:val="0"/>
          <w:color w:val="auto" w:themeColor="text2" w:themeTint="99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Победитель аукциона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вправе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осуществить демонтаж выявленных объектов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за счет собственных средств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 (или) с пр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ивлечением средств других лиц без отнесения соответствующих расходов на территориальный орган администрации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рми.</w:t>
      </w:r>
      <w:r>
        <w:rPr>
          <w:rFonts w:ascii="Times New Roman" w:hAnsi="Times New Roman"/>
          <w:b w:val="0"/>
          <w:bCs w:val="0"/>
          <w:color w:val="auto" w:themeColor="text2" w:themeTint="99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 w:themeColor="text2" w:themeTint="99"/>
          <w:sz w:val="24"/>
          <w:szCs w:val="24"/>
        </w:rPr>
      </w:r>
    </w:p>
    <w:p>
      <w:pPr>
        <w:pStyle w:val="913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20"/>
          <w:rFonts w:ascii="Times New Roman" w:hAnsi="Times New Roman" w:cs="Times New Roman"/>
          <w:sz w:val="24"/>
          <w:szCs w:val="24"/>
          <w:highlight w:val="none"/>
        </w:rPr>
        <w:footnoteReference w:id="2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ии с абзацем первым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3.2.17</w:t>
      </w:r>
      <w:r>
        <w:rPr>
          <w:rFonts w:ascii="Times New Roman" w:hAnsi="Times New Roman" w:cs="Times New Roman"/>
          <w:sz w:val="24"/>
          <w:szCs w:val="24"/>
        </w:rPr>
        <w:t xml:space="preserve">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 планировании и размещении объектов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Свода правил 4.13130 «Системы противопожарн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проектом строительства предусмотреть: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     </w:t>
      </w:r>
      <w:r>
        <w:rPr>
          <w:rFonts w:ascii="Times New Roman" w:hAnsi="Times New Roman"/>
          <w:sz w:val="24"/>
          <w:highlight w:val="non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нанесение существующих деревьев на стройгенплан.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 земельном участке произрастает</w:t>
      </w:r>
      <w:r>
        <w:rPr>
          <w:rFonts w:ascii="Times New Roman" w:hAnsi="Times New Roman"/>
          <w:color w:val="auto"/>
          <w:sz w:val="24"/>
          <w:szCs w:val="24"/>
        </w:rPr>
        <w:t xml:space="preserve"> 31 дерево</w:t>
      </w:r>
      <w:r>
        <w:rPr>
          <w:rFonts w:ascii="Times New Roman" w:hAnsi="Times New Roman" w:eastAsia="Times New Roman" w:cs="Times New Roman"/>
          <w:spacing w:val="-4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highlight w:val="none"/>
        </w:rPr>
        <w:t xml:space="preserve">пород: </w:t>
      </w:r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</w:rPr>
        <w:t xml:space="preserve">черемуха 6 шт., ива 8 </w:t>
      </w:r>
      <w:r>
        <w:rPr>
          <w:rFonts w:ascii="Times New Roman" w:hAnsi="Times New Roman"/>
          <w:color w:val="auto"/>
          <w:sz w:val="24"/>
          <w:szCs w:val="24"/>
        </w:rPr>
        <w:t xml:space="preserve">шт., береза 3 шт., клен 14 шт.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left="0" w:right="0" w:firstLine="85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sz w:val="24"/>
          <w:highlight w:val="none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нос деревьев, попадающ</w:t>
      </w:r>
      <w:r>
        <w:rPr>
          <w:rFonts w:ascii="Times New Roman" w:hAnsi="Times New Roman"/>
          <w:sz w:val="24"/>
          <w:szCs w:val="24"/>
          <w:highlight w:val="none"/>
        </w:rPr>
        <w:t xml:space="preserve">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3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</w:t>
      </w:r>
      <w:r>
        <w:rPr>
          <w:rFonts w:ascii="Times New Roman" w:hAnsi="Times New Roman"/>
          <w:sz w:val="24"/>
          <w:szCs w:val="24"/>
          <w:highlight w:val="white"/>
        </w:rPr>
        <w:t xml:space="preserve">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13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3.2.20. для присоединения земельного участка к улично-дорожной сети г. Перми необходимо:</w:t>
      </w:r>
    </w:p>
    <w:p>
      <w:pPr>
        <w:pStyle w:val="913"/>
        <w:numPr>
          <w:numId w:val="14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numPr>
          <w:numId w:val="14"/>
          <w:ilvl w:val="0"/>
        </w:numPr>
        <w:suppressLineNumbers w:val="0"/>
        <w:spacing w:before="0" w:after="0" w:line="240" w:lineRule="auto"/>
        <w:ind w:lef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По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тано</w:t>
      </w:r>
      <w:r>
        <w:rPr>
          <w:rFonts w:ascii="Times New Roman" w:hAnsi="Times New Roman" w:cs="Times New Roman"/>
          <w:sz w:val="24"/>
          <w:szCs w:val="24"/>
        </w:rPr>
        <w:t xml:space="preserve">влением администрации города Перми от 31.01.2022    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</w:t>
      </w:r>
      <w:r>
        <w:rPr>
          <w:rFonts w:ascii="Times New Roman" w:hAnsi="Times New Roman" w:cs="Times New Roman"/>
          <w:sz w:val="24"/>
          <w:szCs w:val="24"/>
        </w:rPr>
        <w:t xml:space="preserve">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3.2.21 соблюдать Правила благоустройства территории города Перми, утвержденные решением Пермской городской Думы от 15.12.2020 № 277 «Об утверждении Правил благоустройства территории города Перми»,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электроосвещение территории объекта;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устройство подъезда к земельному участку или ликвидацию разрушений, повреждений дорожного покрытия существующего проезда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правила охраны электрических сетей, установленные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оложенных в границах таких зон»;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left="0" w:righ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3.2.25 соблюдать правила охранных зон газопровода высокого, среднего и низкого давления, 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</w:t>
      </w:r>
      <w:r>
        <w:rPr>
          <w:rFonts w:ascii="Times New Roman" w:hAnsi="Times New Roman" w:cs="Times New Roman"/>
          <w:sz w:val="24"/>
          <w:szCs w:val="24"/>
        </w:rPr>
        <w:t xml:space="preserve">20.11.2000 № 878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давления, зона с особыми условиями Правил охраны газораспределительных </w:t>
      </w:r>
      <w:r>
        <w:rPr>
          <w:rFonts w:ascii="Times New Roman" w:hAnsi="Times New Roman" w:cs="Times New Roman"/>
          <w:sz w:val="24"/>
          <w:szCs w:val="24"/>
        </w:rPr>
        <w:t xml:space="preserve">сетей».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</w:p>
          <w:p>
            <w:pPr>
              <w:pStyle w:val="913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13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76" w:lineRule="auto"/>
        <w:ind w:firstLine="53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3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bookmarkStart w:id="0" w:name="undefined"/>
            <w:bookmarkEnd w:id="0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  <w:t xml:space="preserve">           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20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1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</w:pPr>
      </w:p>
      <w:p>
        <w:pPr>
          <w:pStyle w:val="92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09"/>
    <w:next w:val="909"/>
    <w:link w:val="73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0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09"/>
    <w:next w:val="909"/>
    <w:link w:val="73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0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09"/>
    <w:next w:val="909"/>
    <w:link w:val="74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0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09"/>
    <w:next w:val="909"/>
    <w:link w:val="74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0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09"/>
    <w:next w:val="909"/>
    <w:link w:val="74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0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09"/>
    <w:next w:val="909"/>
    <w:link w:val="74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09"/>
    <w:next w:val="909"/>
    <w:link w:val="74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0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09"/>
    <w:next w:val="909"/>
    <w:link w:val="75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0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09"/>
    <w:next w:val="909"/>
    <w:link w:val="75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0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09"/>
    <w:uiPriority w:val="34"/>
    <w:qFormat/>
    <w:pPr>
      <w:ind w:left="720"/>
      <w:contextualSpacing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09"/>
    <w:next w:val="909"/>
    <w:link w:val="75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7">
    <w:name w:val="Title Char"/>
    <w:basedOn w:val="910"/>
    <w:link w:val="756"/>
    <w:uiPriority w:val="10"/>
    <w:rPr>
      <w:sz w:val="48"/>
      <w:szCs w:val="48"/>
    </w:rPr>
  </w:style>
  <w:style w:type="paragraph" w:styleId="758">
    <w:name w:val="Subtitle"/>
    <w:basedOn w:val="909"/>
    <w:next w:val="909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0"/>
    <w:link w:val="758"/>
    <w:uiPriority w:val="11"/>
    <w:rPr>
      <w:sz w:val="24"/>
      <w:szCs w:val="24"/>
    </w:rPr>
  </w:style>
  <w:style w:type="paragraph" w:styleId="760">
    <w:name w:val="Quote"/>
    <w:basedOn w:val="909"/>
    <w:next w:val="909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09"/>
    <w:next w:val="909"/>
    <w:link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0"/>
    <w:link w:val="923"/>
    <w:uiPriority w:val="99"/>
  </w:style>
  <w:style w:type="character" w:styleId="765">
    <w:name w:val="Footer Char"/>
    <w:basedOn w:val="910"/>
    <w:link w:val="925"/>
    <w:uiPriority w:val="99"/>
  </w:style>
  <w:style w:type="paragraph" w:styleId="766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5"/>
    <w:uiPriority w:val="99"/>
  </w:style>
  <w:style w:type="table" w:styleId="768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3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4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5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6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7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8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9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character" w:styleId="894">
    <w:name w:val="Footnote Text Char"/>
    <w:link w:val="918"/>
    <w:uiPriority w:val="99"/>
    <w:rPr>
      <w:sz w:val="18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basedOn w:val="910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spacing w:after="57"/>
      <w:ind w:left="0" w:right="0" w:firstLine="0"/>
    </w:pPr>
  </w:style>
  <w:style w:type="paragraph" w:styleId="899">
    <w:name w:val="toc 2"/>
    <w:basedOn w:val="909"/>
    <w:next w:val="909"/>
    <w:uiPriority w:val="39"/>
    <w:unhideWhenUsed/>
    <w:pPr>
      <w:spacing w:after="57"/>
      <w:ind w:left="283" w:right="0" w:firstLine="0"/>
    </w:pPr>
  </w:style>
  <w:style w:type="paragraph" w:styleId="900">
    <w:name w:val="toc 3"/>
    <w:basedOn w:val="909"/>
    <w:next w:val="909"/>
    <w:uiPriority w:val="39"/>
    <w:unhideWhenUsed/>
    <w:pPr>
      <w:spacing w:after="57"/>
      <w:ind w:left="567" w:right="0" w:firstLine="0"/>
    </w:pPr>
  </w:style>
  <w:style w:type="paragraph" w:styleId="901">
    <w:name w:val="toc 4"/>
    <w:basedOn w:val="909"/>
    <w:next w:val="909"/>
    <w:uiPriority w:val="39"/>
    <w:unhideWhenUsed/>
    <w:pPr>
      <w:spacing w:after="57"/>
      <w:ind w:left="850" w:right="0" w:firstLine="0"/>
    </w:pPr>
  </w:style>
  <w:style w:type="paragraph" w:styleId="902">
    <w:name w:val="toc 5"/>
    <w:basedOn w:val="909"/>
    <w:next w:val="909"/>
    <w:uiPriority w:val="39"/>
    <w:unhideWhenUsed/>
    <w:pPr>
      <w:spacing w:after="57"/>
      <w:ind w:left="1134" w:right="0" w:firstLine="0"/>
    </w:pPr>
  </w:style>
  <w:style w:type="paragraph" w:styleId="903">
    <w:name w:val="toc 6"/>
    <w:basedOn w:val="909"/>
    <w:next w:val="909"/>
    <w:uiPriority w:val="39"/>
    <w:unhideWhenUsed/>
    <w:pPr>
      <w:spacing w:after="57"/>
      <w:ind w:left="1417" w:right="0" w:firstLine="0"/>
    </w:pPr>
  </w:style>
  <w:style w:type="paragraph" w:styleId="904">
    <w:name w:val="toc 7"/>
    <w:basedOn w:val="909"/>
    <w:next w:val="909"/>
    <w:uiPriority w:val="39"/>
    <w:unhideWhenUsed/>
    <w:pPr>
      <w:spacing w:after="57"/>
      <w:ind w:left="1701" w:right="0" w:firstLine="0"/>
    </w:pPr>
  </w:style>
  <w:style w:type="paragraph" w:styleId="905">
    <w:name w:val="toc 8"/>
    <w:basedOn w:val="909"/>
    <w:next w:val="909"/>
    <w:uiPriority w:val="39"/>
    <w:unhideWhenUsed/>
    <w:pPr>
      <w:spacing w:after="57"/>
      <w:ind w:left="1984" w:right="0" w:firstLine="0"/>
    </w:pPr>
  </w:style>
  <w:style w:type="paragraph" w:styleId="906">
    <w:name w:val="toc 9"/>
    <w:basedOn w:val="909"/>
    <w:next w:val="909"/>
    <w:uiPriority w:val="39"/>
    <w:unhideWhenUsed/>
    <w:pPr>
      <w:spacing w:after="57"/>
      <w:ind w:left="2268" w:right="0" w:firstLine="0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qFormat/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14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5">
    <w:name w:val="Body Text Indent 2"/>
    <w:basedOn w:val="909"/>
    <w:link w:val="916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Основной текст с отступом 2 Знак"/>
    <w:basedOn w:val="910"/>
    <w:link w:val="91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7">
    <w:name w:val="Table Grid"/>
    <w:basedOn w:val="91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>
    <w:name w:val="footnote text"/>
    <w:basedOn w:val="909"/>
    <w:link w:val="91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9" w:customStyle="1">
    <w:name w:val="Текст сноски Знак"/>
    <w:basedOn w:val="910"/>
    <w:link w:val="918"/>
    <w:uiPriority w:val="99"/>
    <w:semiHidden/>
    <w:rPr>
      <w:sz w:val="20"/>
      <w:szCs w:val="20"/>
    </w:rPr>
  </w:style>
  <w:style w:type="character" w:styleId="920">
    <w:name w:val="footnote reference"/>
    <w:semiHidden/>
    <w:unhideWhenUsed/>
    <w:rPr>
      <w:vertAlign w:val="superscript"/>
    </w:rPr>
  </w:style>
  <w:style w:type="table" w:styleId="921" w:customStyle="1">
    <w:name w:val="Сетка таблицы1"/>
    <w:basedOn w:val="91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2">
    <w:name w:val="Strong"/>
    <w:basedOn w:val="910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3">
    <w:name w:val="Header"/>
    <w:basedOn w:val="909"/>
    <w:link w:val="92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4" w:customStyle="1">
    <w:name w:val="Верхний колонтитул Знак"/>
    <w:basedOn w:val="910"/>
    <w:link w:val="923"/>
    <w:uiPriority w:val="99"/>
  </w:style>
  <w:style w:type="paragraph" w:styleId="925">
    <w:name w:val="Footer"/>
    <w:basedOn w:val="909"/>
    <w:link w:val="92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6" w:customStyle="1">
    <w:name w:val="Нижний колонтитул Знак"/>
    <w:basedOn w:val="910"/>
    <w:link w:val="925"/>
    <w:uiPriority w:val="99"/>
  </w:style>
  <w:style w:type="paragraph" w:styleId="927">
    <w:name w:val="Balloon Text"/>
    <w:basedOn w:val="909"/>
    <w:link w:val="9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910"/>
    <w:link w:val="92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kuznecova-ln</cp:lastModifiedBy>
  <cp:revision>33</cp:revision>
  <dcterms:created xsi:type="dcterms:W3CDTF">2024-03-22T04:14:00Z</dcterms:created>
  <dcterms:modified xsi:type="dcterms:W3CDTF">2025-09-25T07:37:21Z</dcterms:modified>
</cp:coreProperties>
</file>