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</w:t>
        <w:br/>
        <w:t xml:space="preserve">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</w:t>
        <w:br/>
        <w:t xml:space="preserve">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от________________ 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I. Предмет договора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</w:t>
              <w:br/>
              <w:t xml:space="preserve">во временное пользование на условиях аренды земельный участок, имеющий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59:01:2310086:194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микрорайон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Нижнемостовая, з/у 47е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индивидуального жилищного строительства, в границах, сведения о которых содержатся в Едином государственном реестре недвижимости, </w:t>
              <w:br/>
              <w:t xml:space="preserve">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территориальной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зоне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индивидуальной усадебной жилой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застройки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(Ж-5).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в зонах с особым условием использования территории: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частично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хранная зона ВЛ 0,4кВ от КТП-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4459,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установленную постановление Правительства РФ от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24.02.2009 No 160 «О порядке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установления охранных зон объектов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электросетевого хозяйства и особых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условий использования земельных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участков, расположенных в границах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таких зон».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- для индивидуального жилищного строительства (2.1)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78"/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 пунктом 4.5 СП 55.13330.2016 Свода Правил. Дома жилые одноквартирные. СНиП 31-02-2001, утвержденным и введенным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действие Приказом Министерства строительства и жилищно-коммунального хозяйства Российской Федерации от 20.10.2016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725/пр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(ред. от 17.05.2023)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должен включать жилые комнаты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одну или несколько (общую комнату или гостиную, спальню),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борную) или совмещенный санузел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переднюю.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8"/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</w:t>
              <w:br/>
              <w:t xml:space="preserve">и реконструируемых жилых домов должны быть не менее: общей комнаты </w:t>
              <w:br/>
              <w:t xml:space="preserve">в однокомнатном доме - 14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общей комнаты в доме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числом комнат две и более - </w:t>
              <w:br/>
              <w:t xml:space="preserve">16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спальни - 8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); кухни - 8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кухонной зоны в кухне-столовой - 6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домах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одной комнатой допускается проектировать кухни или кухни-ниши площадью не менее 5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8"/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антресолей должна составлять не менее 2,1 м,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а высота пути эвакуации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2,2 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жилых комнатах и кухнях, расположенных в этажах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 потолка), относительно нормиру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емой на площади, не превышающей 50%.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Согласно информации, содержащейся в градостроительно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м плане земельного участка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.2025 № РФ-59-2-03-0-00-2025-1603-0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редельная высота 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даний, строений не более 10,5 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Минимальный отступ от границ зем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ельного участка до места допустимого размещени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зданий, строений, сооружений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 исключе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 границ со стороны территории общего пользования, где отступ определяется с учетом красных линий </w:t>
              <w:br/>
              <w:t xml:space="preserve">и линий регулирования застройки, установленных проектом планировки территории, </w:t>
              <w:br/>
              <w:t xml:space="preserve">а также смежных земельных участков при блокированной жилой застройке) – 3 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78"/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78"/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Максимальный процент застройки в границах земельного участка – 40%.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firstLine="317"/>
              <w:jc w:val="both"/>
              <w:spacing w:before="0" w:beforeAutospacing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II. Права и обязанности Арендодателя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</w:t>
        <w:br/>
        <w:t xml:space="preserve">не противоречит условиям договора и земельному законодательству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III. Права и обязанности Арендатора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  <w:br/>
        <w:t xml:space="preserve">за исключением сооружений, которые могут размещаться на таких земельных участках </w:t>
        <w:br/>
        <w:t xml:space="preserve">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</w:t>
        <w:br/>
        <w:t xml:space="preserve">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</w:t>
        <w:br/>
        <w:t xml:space="preserve">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</w:t>
        <w:br/>
        <w:t xml:space="preserve">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допускать строительства на земельном участке до получения уведомления </w:t>
        <w:br/>
        <w:t xml:space="preserve">в соответствии с Градостроительным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Российской Федерации в случае строительства на земельном участке объектов индивидуального жилищного строительства или садового дома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Направить Арендодателю копию уведомления в соответствии с абзацем вторым настоящего пункта в течение 10 дней со дня его получения;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</w:t>
        <w:br/>
        <w:t xml:space="preserve">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</w:t>
        <w:br/>
        <w:t xml:space="preserve">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</w:t>
        <w:br/>
        <w:t xml:space="preserve">о предстоящем освобождении участка в связи с окончанием срока договора в связи </w:t>
        <w:br/>
        <w:t xml:space="preserve">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</w:t>
        <w:br/>
        <w:t xml:space="preserve">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</w:t>
        <w:br/>
        <w:t xml:space="preserve">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соблюд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ать требования к параметрам объекта недвижимости, предполагаемого к возведению, указанные в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 проектом строительства предусмотреть следующие мероприятия по охране окружающей среды: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нанесение существующих деревьев на стройгенплан.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 земельном участке произрастает 23 дерева: </w:t>
      </w:r>
      <w:r>
        <w:rPr>
          <w:rFonts w:ascii="Times New Roman" w:hAnsi="Times New Roman"/>
          <w:sz w:val="24"/>
          <w:szCs w:val="24"/>
          <w:highlight w:val="none"/>
        </w:rPr>
        <w:t xml:space="preserve">береза 3 шт., тополь 4 </w:t>
      </w:r>
      <w:r>
        <w:rPr>
          <w:rFonts w:ascii="Times New Roman" w:hAnsi="Times New Roman"/>
          <w:sz w:val="24"/>
          <w:szCs w:val="24"/>
          <w:highlight w:val="none"/>
        </w:rPr>
        <w:t xml:space="preserve">шт., клен ясенелистный 1 шт., ива 13 шт., пихта 1 шт., вишня 1 шт.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ода Перми». Ук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азанный акт должен быть составлен на основании проектной документации. Остальные деревья сохранить.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884"/>
        <w:numPr>
          <w:ilvl w:val="0"/>
          <w:numId w:val="4"/>
        </w:numPr>
        <w:contextualSpacing w:val="0"/>
        <w:ind w:left="0" w:right="0" w:firstLine="916"/>
        <w:jc w:val="both"/>
        <w:spacing w:before="0" w:beforeAutospacing="0"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contextualSpacing w:val="0"/>
        <w:ind w:right="0" w:firstLine="708"/>
        <w:jc w:val="both"/>
        <w:spacing w:before="0" w:beforeAutospacing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</w:t>
        <w:br/>
        <w:t xml:space="preserve">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84"/>
        <w:contextualSpacing w:val="0"/>
        <w:ind w:left="0" w:right="0" w:firstLine="708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4"/>
        <w:contextualSpacing w:val="0"/>
        <w:ind w:left="0" w:right="0" w:firstLine="708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4"/>
        <w:contextualSpacing w:val="0"/>
        <w:ind w:firstLine="567"/>
        <w:jc w:val="both"/>
        <w:spacing w:before="0" w:beforeAutospacing="0" w:after="0" w:line="240" w:lineRule="auto"/>
        <w:rPr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для присоединения земельного участка к улично-дорожной сети города Перми необходимо: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numPr>
          <w:ilvl w:val="0"/>
          <w:numId w:val="6"/>
        </w:numPr>
        <w:contextualSpacing w:val="0"/>
        <w:ind w:left="0" w:right="0" w:firstLine="916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проект организации дорожного движения и согласовать </w:t>
        <w:br/>
        <w:t xml:space="preserve">в установленном порядке с ГКУ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6"/>
        </w:numPr>
        <w:contextualSpacing w:val="0"/>
        <w:ind w:left="0" w:firstLine="916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тано</w:t>
      </w:r>
      <w:r>
        <w:rPr>
          <w:rFonts w:ascii="Times New Roman" w:hAnsi="Times New Roman" w:cs="Times New Roman"/>
          <w:sz w:val="24"/>
          <w:szCs w:val="24"/>
        </w:rPr>
        <w:t xml:space="preserve">влением администрации города Перми от 31.01.2022    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</w:t>
      </w:r>
      <w:r>
        <w:rPr>
          <w:rFonts w:ascii="Times New Roman" w:hAnsi="Times New Roman" w:cs="Times New Roman"/>
          <w:sz w:val="24"/>
          <w:szCs w:val="24"/>
        </w:rPr>
        <w:t xml:space="preserve">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</w:t>
        <w:br/>
        <w:t xml:space="preserve">к другой автомобильной дороге»);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contextualSpacing w:val="0"/>
        <w:ind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contextualSpacing w:val="0"/>
        <w:ind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поверхностный водоотвод решить проектом без подтопления смежных территорий, </w:t>
        <w:br/>
        <w:t xml:space="preserve">в соответствии с действующими нормативно-правовыми актами и природоохранным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contextualSpacing w:val="0"/>
        <w:ind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электроосвещение территории объекта;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contextualSpacing w:val="0"/>
        <w:ind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contextualSpacing w:val="0"/>
        <w:ind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/>
          <w:sz w:val="24"/>
          <w:szCs w:val="24"/>
          <w:highlight w:val="none"/>
        </w:rPr>
        <w:t xml:space="preserve">при планировании и р</w:t>
      </w:r>
      <w:r>
        <w:rPr>
          <w:rFonts w:ascii="Times New Roman" w:hAnsi="Times New Roman"/>
          <w:sz w:val="24"/>
          <w:szCs w:val="24"/>
          <w:highlight w:val="none"/>
        </w:rPr>
        <w:t xml:space="preserve">азмещении объектов на земельном участке соблюдать нормы и требования</w:t>
      </w:r>
      <w:r>
        <w:rPr>
          <w:rFonts w:ascii="Times New Roman" w:hAnsi="Times New Roman"/>
          <w:sz w:val="24"/>
          <w:szCs w:val="24"/>
          <w:highlight w:val="none"/>
        </w:rPr>
        <w:t xml:space="preserve"> действующего законодательства: </w:t>
      </w:r>
      <w:r>
        <w:rPr>
          <w:rFonts w:ascii="Times New Roman" w:hAnsi="Times New Roman"/>
          <w:sz w:val="24"/>
          <w:szCs w:val="24"/>
          <w:highlight w:val="none"/>
        </w:rPr>
        <w:t xml:space="preserve">Федеральных законов от 21 декабря 1994 г. № 69-ФЗ «О пожарной безопасности» и от 22 июля 2008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г.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123-ФЗ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«Технический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регламент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пожарной безопасности»,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Свода</w:t>
      </w:r>
      <w:r>
        <w:rPr>
          <w:rFonts w:ascii="Times New Roman" w:hAnsi="Times New Roman"/>
          <w:sz w:val="24"/>
          <w:szCs w:val="24"/>
          <w:highlight w:val="none"/>
        </w:rPr>
        <w:t xml:space="preserve"> правил </w:t>
      </w:r>
      <w:r>
        <w:rPr>
          <w:rFonts w:ascii="Times New Roman" w:hAnsi="Times New Roman"/>
          <w:sz w:val="24"/>
          <w:szCs w:val="24"/>
          <w:highlight w:val="none"/>
        </w:rPr>
        <w:t xml:space="preserve">8.13130.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«Системы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противопожарной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защиты. Источники наружного противопожарного водоснабжения. Требования пожарной безопасности», утвержденных приказом МЧС России от 30.03.2020 </w:t>
      </w:r>
      <w:r>
        <w:rPr>
          <w:rFonts w:ascii="Times New Roman" w:hAnsi="Times New Roman"/>
          <w:sz w:val="24"/>
          <w:szCs w:val="24"/>
          <w:highlight w:val="none"/>
        </w:rPr>
        <w:t xml:space="preserve">№ 225, Свода 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4.13130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«Системы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противопожарной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защиты.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Ограничение распространения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пожара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объектах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защиты.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 объемно-</w:t>
      </w:r>
      <w:r>
        <w:rPr>
          <w:rFonts w:ascii="Times New Roman" w:hAnsi="Times New Roman"/>
          <w:sz w:val="24"/>
          <w:szCs w:val="24"/>
          <w:highlight w:val="none"/>
        </w:rPr>
        <w:t xml:space="preserve">планировочным </w:t>
        <w:br/>
        <w:t xml:space="preserve">и конструктивным решениям», утвержденных Приказом МЧС России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от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24.04.2013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288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 иной до</w:t>
      </w:r>
      <w:r>
        <w:rPr>
          <w:rFonts w:ascii="Times New Roman" w:hAnsi="Times New Roman"/>
          <w:sz w:val="24"/>
          <w:szCs w:val="24"/>
          <w:highlight w:val="none"/>
        </w:rPr>
        <w:t xml:space="preserve">кументации, касающейся норм противопожарной безопасност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 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7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3.2.22. соблюдать ограничения при использовании земельного участка, расположенного в границах зон с особыми условиями использования территорий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установленные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2"/>
              <w:numPr>
                <w:ilvl w:val="0"/>
                <w:numId w:val="2"/>
              </w:numPr>
              <w:ind w:right="0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постановлением Правительства Российской Федераци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размещать </w:t>
              <w:br/>
              <w:t xml:space="preserve">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кты,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способствующие привлечению и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ассовому скоплению птиц»;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82"/>
              <w:numPr>
                <w:ilvl w:val="0"/>
                <w:numId w:val="2"/>
              </w:numPr>
              <w:ind w:right="0"/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постановлением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Правительства Российской Федерации от 24.02.2009 № 160 </w:t>
              <w:br/>
              <w:t xml:space="preserve">«О порядке установления охранных зон объектов электросетевого хозяйства </w:t>
              <w:br/>
              <w:t xml:space="preserve">и особых условий использования земельных участков, расположенных </w:t>
              <w:br/>
              <w:t xml:space="preserve">в границах таких зон.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54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3.2.23.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IV. Срок аренды и арендная плата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-138" w:firstLine="285"/>
              <w:jc w:val="both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8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contextualSpacing w:val="0"/>
        <w:jc w:val="left"/>
        <w:spacing w:before="0" w:beforeAutospacing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предоставления земельного участка на условиях аренды для индивидуального жилищного строительства арендатор обязан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уп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стоящего договора (за вычетом задатка, внесенного для участия в аукционе), за 1 год.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</w:t>
        <w:br/>
        <w:t xml:space="preserve">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</w:t>
        <w:br/>
        <w:t xml:space="preserve">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V. Ответственность сторон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</w:t>
        <w:br/>
        <w:t xml:space="preserve">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VI. Порядок заключения договора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</w:t>
        <w:br/>
        <w:t xml:space="preserve">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</w:t>
        <w:br/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договора на новый срок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</w:t>
        <w:br/>
        <w:t xml:space="preserve">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</w:t>
        <w:br/>
        <w:t xml:space="preserve">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</w:t>
        <w:br/>
        <w:t xml:space="preserve">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Арендодатель имеет право в одностороннем внесудебном порядке отказаться </w:t>
        <w:br/>
        <w:t xml:space="preserve">от договора аренды земельного участка в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7.5.1. неиспользование земельного участка, предназначенного для строительства, </w:t>
        <w:br/>
        <w:t xml:space="preserve">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7.5.3. изъятия земельного участка для государственных или муниципальных нужд </w:t>
        <w:br/>
        <w:t xml:space="preserve">в соответствии с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Федерации, в сроки, установленные решением </w:t>
        <w:br/>
        <w:t xml:space="preserve">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7.5.5. по иным основаниям, предусмотренным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</w:t>
        <w:br/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</w:t>
        <w:br/>
        <w:t xml:space="preserve">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</w:t>
        <w:br/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</w:t>
        <w:br/>
        <w:t xml:space="preserve">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</w:t>
        <w:br/>
        <w:t xml:space="preserve">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IX. Особые обстоятельства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  <w:br/>
        <w:t xml:space="preserve">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</w:t>
        <w:br/>
        <w:t xml:space="preserve">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X. Вступление договора в силу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  <w:br/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 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b/>
          <w:bCs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XI. Адреса, реквизиты и подписи сторон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734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sz w:val="24"/>
                <w:szCs w:val="24"/>
                <w:highlight w:val="none"/>
              </w:rPr>
              <w:t xml:space="preserve">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д.15,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b/>
                <w:bCs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</w:t>
        <w:br/>
        <w:t xml:space="preserve">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Носит рекомендательный характер до 01 марта 2031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rFonts w:ascii="Liberation Serif" w:hAnsi="Liberation Serif" w:cs="Liberation Serif"/>
      </w:rPr>
    </w:pPr>
    <w:r>
      <w:tab/>
      <w:t xml:space="preserve">                                               </w:t>
    </w:r>
    <w:r>
      <w:rPr>
        <w:rFonts w:ascii="Liberation Serif" w:hAnsi="Liberation Serif" w:eastAsia="Liberation Serif" w:cs="Liberation Serif"/>
      </w:rPr>
      <w:t xml:space="preserve"> Id 80480</w:t>
    </w:r>
    <w:r>
      <w:rPr>
        <w:rFonts w:ascii="Liberation Serif" w:hAnsi="Liberation Serif" w:eastAsia="Liberation Serif" w:cs="Liberation Serif"/>
      </w:rPr>
    </w:r>
    <w:r>
      <w:rPr>
        <w:rFonts w:ascii="Liberation Serif" w:hAnsi="Liberation Serif" w:cs="Liberation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4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4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8"/>
    <w:next w:val="878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8"/>
    <w:next w:val="8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No Spacing"/>
    <w:basedOn w:val="878"/>
    <w:uiPriority w:val="1"/>
    <w:qFormat/>
    <w:pPr>
      <w:spacing w:after="0" w:line="240" w:lineRule="auto"/>
    </w:pPr>
  </w:style>
  <w:style w:type="paragraph" w:styleId="882">
    <w:name w:val="List Paragraph"/>
    <w:basedOn w:val="878"/>
    <w:uiPriority w:val="34"/>
    <w:qFormat/>
    <w:pPr>
      <w:contextualSpacing/>
      <w:ind w:left="720"/>
    </w:pPr>
  </w:style>
  <w:style w:type="character" w:styleId="883" w:default="1">
    <w:name w:val="Default Paragraph Font"/>
    <w:uiPriority w:val="1"/>
    <w:semiHidden/>
    <w:unhideWhenUsed/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Times New Roman"/>
    <w:qFormat/>
    <w:pPr>
      <w:contextualSpacing w:val="0"/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6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36</cp:revision>
  <dcterms:modified xsi:type="dcterms:W3CDTF">2025-09-24T07:17:10Z</dcterms:modified>
</cp:coreProperties>
</file>