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01.10.2025 № 059-19-01-11-143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 13.11.2025 электронных аукционов на право заключения договоров аренды 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на право заключения договоров аренды земельных участков </w:t>
        <w:br/>
        <w:t xml:space="preserve">(далее – аукцион) проводятся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                     «О комиссии по проведению аукционов по продаже земельных участков, находящихся                             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                  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8"/>
        </w:rPr>
        <w:t>01.10.2025 № 059-19-01-11-143.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b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b/>
          <w:bCs/>
        </w:rPr>
      </w:pPr>
      <w:r>
        <w:rPr>
          <w:b/>
          <w:bCs/>
          <w:lang w:val="en-US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 </w:t>
            </w:r>
            <w:r>
              <w:rPr>
                <w:rFonts w:eastAsia="Droid Sans Fallback" w:cs="Lohit Devanagari"/>
                <w:color w:val="auto"/>
                <w:sz w:val="24"/>
                <w:szCs w:val="28"/>
                <w:lang w:val="ru-RU" w:eastAsia="zh-CN" w:bidi="ar-SA"/>
              </w:rPr>
              <w:t>от 25 июля   2025 г. № 21-01-03-6016 «О проведении аукциона на право заключения договора аренды земельного участка в Орджоникидзевском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1-я Логовая, з/у 23а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59:01:3810190:154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 </w:t>
            </w:r>
            <w:r>
              <w:rPr>
                <w:sz w:val="24"/>
                <w:szCs w:val="24"/>
                <w:highlight w:val="white"/>
              </w:rPr>
              <w:t>26.09.2025г. No КУВИ-001/2025-181409672</w:t>
            </w:r>
            <w:r>
              <w:rPr>
                <w:sz w:val="24"/>
                <w:szCs w:val="24"/>
              </w:rPr>
              <w:t xml:space="preserve"> (далее –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26.06.2025 № РФ-59-2-03-0-00-2025-1464-0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Состояние рельефа земельного участка ровное. Земельный участок по периметру частично огорожен деревянным забором, часть огражден</w:t>
            </w:r>
            <w:r>
              <w:rPr>
                <w:color w:themeColor="text1" w:val="000000"/>
                <w:sz w:val="24"/>
                <w:szCs w:val="24"/>
              </w:rPr>
              <w:t>ия отсутствует. На</w:t>
            </w:r>
            <w:r>
              <w:rPr>
                <w:color w:val="auto"/>
                <w:sz w:val="24"/>
                <w:szCs w:val="24"/>
              </w:rPr>
              <w:t xml:space="preserve"> земельном участке расположено разрушенное строение из бревен, произрастают кустарники и многолетние лиственные деревья. В пределах видимости на части земельного участка размещен строительный хлам и элементы фундамента. Вблизи земельного участка установлен бетонный электрический столб, происходит провисание электрических проводов. Доступ (подход/подъезд) </w:t>
              <w:br/>
              <w:t>к земельному участку частично ограничен по высоте трубой наружного газопровода.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Близлежащие пожарные гидранты расположены </w:t>
              <w:br/>
              <w:t xml:space="preserve">по адресам: ул. 1-я Логовая, 1е, ул. Пархоменко, 8, </w:t>
              <w:br/>
              <w:t>ул. Пархоменко, 21, Еловский пер., 24; пожарный водоем: ул. Новогодняя, 11.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администрации Орджоникидзевского района </w:t>
            </w:r>
            <w:r>
              <w:rPr>
                <w:color w:val="auto"/>
                <w:sz w:val="24"/>
                <w:szCs w:val="24"/>
              </w:rPr>
              <w:t>от 25.06.2025 № 059-37-01-32/3-3108 и в акте обследования земельного участка от 24.06.2025 № 67).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В соответствии с копией планшета М 1:500 (требуется корректура) на земельном участке расположены некапитальные строения. </w:t>
            </w: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юго-западной и северо-западной стороны Участок огорожен забором. С северо-восточной стороны, в границах Участка, расположен забор. В границах участка с юго-восточной стороны расположен забор на металлических столбах.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</w:t>
            </w:r>
            <w:r>
              <w:rPr>
                <w:color w:val="auto"/>
                <w:sz w:val="24"/>
                <w:szCs w:val="24"/>
                <w:highlight w:val="white"/>
              </w:rPr>
              <w:t>геодезической съемкой, выполненной в 2023 году, на земельном участке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 xml:space="preserve"> расположены два строения: разрушенное и нежилое. С северо-западной стороны Участок огорожен забором. С юго-западно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й стороны и частично с юго-восточной, в границах Участка, проходит </w:t>
            </w:r>
            <w:r>
              <w:rPr>
                <w:color w:val="auto"/>
                <w:sz w:val="24"/>
                <w:szCs w:val="24"/>
              </w:rPr>
              <w:t>газопровод.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Согласно сведениям ЕГРН в границах Участка расположено сооружение с кадастровым номером 59:01:0000000:81123 - сооружение коммунального хозяйства. Технологический комплекс в составе: 1. газопровод высокого давления, протяженностью 11 п.м., газопровод среднего давления, протяженностью 1331 п.м., газопровод низкого давления, протяженностью 5477 п.м., 2. 1-этажное здание газорегуляторного пункта, площадью 15.8 кв.м.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В соответствии с пунктом 8 статьи 39.11 Кодекса земельный участок, находящийся в государственной или муниципальной собственности, не может быть предметом аукциона, если на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</w:t>
              <w:br/>
              <w:t>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Кодекса.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Учитывая, что указанные линейные объекты </w:t>
            </w:r>
            <w:r>
              <w:rPr>
                <w:color w:themeColor="text1" w:val="000000"/>
                <w:sz w:val="24"/>
                <w:szCs w:val="24"/>
              </w:rPr>
              <w:t>могут размещаться на основании сервитута, публичного сервитута, в соответствии со статьей 39.36 Кодекса, наличие таких объектов на земельном участке не является основанием для отказа в предоставлении земельного участка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2" w:themeTint="99" w:val="auto"/>
                <w:sz w:val="24"/>
                <w:szCs w:val="24"/>
              </w:rPr>
            </w:pPr>
            <w:r>
              <w:rPr>
                <w:b w:val="false"/>
                <w:bCs w:val="false"/>
                <w:color w:themeColor="text2" w:themeTint="99"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Согласно сведениям, содержащимся ЕГРН, ГПЗУ </w:t>
              <w:br/>
              <w:t xml:space="preserve">и градостроительной справке от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25.09.2025 № 647648</w:t>
            </w:r>
            <w:r>
              <w:rPr>
                <w:b w:val="false"/>
                <w:bCs w:val="false"/>
                <w:color w:val="FF0000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приаэродромная территория аэродрома аэропорта Большое Савино, реестровый номер 59:32-6.553;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частично охранная зона газопровода высокого, среднего и низкого давления, реестровый номер 59:01-6.3614, площадью 47 кв.м;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</w:rPr>
              <w:t xml:space="preserve">частично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охранная зона ВЛ 0,4 кВ от ТП4383 </w:t>
              <w:br/>
              <w:t>от ТП4384, от ТП4385, от ТП4386, КЛ 0,4 кВ от ТП4383, от ТП4385, от ТП4386 (электросетевой комплекс "Подстанция 110/6кВ "Северная" с линиями электропередачи, трансформаторными подстанциями и распределительными пунктами), реестровый (учетный) номер 59.01.2.179, площадью 9 кв.м.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 постановление Правительства РФ от 20.11.2000 № 878</w:t>
            </w:r>
            <w:r>
              <w:rPr>
                <w:color w:val="auto"/>
                <w:sz w:val="24"/>
                <w:szCs w:val="24"/>
              </w:rPr>
              <w:t xml:space="preserve"> «</w:t>
            </w:r>
            <w:r>
              <w:rPr>
                <w:color w:val="auto"/>
                <w:sz w:val="24"/>
                <w:szCs w:val="24"/>
                <w:highlight w:val="white"/>
              </w:rPr>
              <w:t>Об утверждении Правил охраны газораспределительных сетей»</w:t>
            </w:r>
            <w:r>
              <w:rPr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highlight w:val="white"/>
              </w:rPr>
              <w:t>с постановлением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Участке произрастает 31 дерево: черемуха 6 шт., ива 8 шт., береза 3 шт., клен 14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Победителю аукциона необходимо соблюдать условия строительства, перечисленные в перечне мероприятий </w:t>
              <w:br/>
              <w:t>по охране окружающей среды от 25.06.2025 № 177 (прилагается).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у</w:t>
            </w:r>
            <w:r>
              <w:rPr>
                <w:b/>
                <w:color w:val="auto"/>
                <w:sz w:val="24"/>
                <w:szCs w:val="24"/>
              </w:rPr>
              <w:t>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25.06.2025 № 059-33-01-10/3-387).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Для примыкания Участка к улично-дорожной сети города Перми необходимо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23.06.2025 № 059-24-01-36/3-2167).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Источники противопожарного водоснабжения на земельном участке и прилегающей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Подразделения пожарной охраны находятся </w:t>
              <w:br/>
              <w:t>по адресам: ул. Соликамская, 293 (ПСЧ-108), ул. Кронита, 18 СПЧ-40).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(Чапаева) отсутствуют. Ближайший участковый пункт расположен по адресу: г. Пермь, ул. Талицкий переулок, д. 8 (микрорайон Кислотные Дачи Орджоникидзевский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21.06.2025 № 059-10-01-27/3-1334).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BodyText"/>
              <w:spacing w:lineRule="auto" w:line="240"/>
              <w:ind w:firstLine="283" w:left="0" w:right="0"/>
              <w:jc w:val="both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</w:t>
            </w:r>
            <w:r>
              <w:rPr>
                <w:b/>
                <w:bCs/>
                <w:color w:val="auto"/>
                <w:sz w:val="24"/>
                <w:szCs w:val="24"/>
              </w:rPr>
              <w:t>предусмотрено</w:t>
            </w:r>
            <w:r>
              <w:rPr>
                <w:color w:val="auto"/>
                <w:sz w:val="24"/>
                <w:szCs w:val="24"/>
              </w:rPr>
              <w:t xml:space="preserve"> строительство сетей водоснабжения и водоотведения в мкр. Чапаевский.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(Аналогичная информация отражена в письме д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23.06.2025 № 059-04-17/3-545-ри).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</w:t>
              <w:br/>
              <w:t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>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градостроительному плану земельного участка</w:t>
            </w:r>
            <w:r>
              <w:rPr>
                <w:color w:val="auto"/>
                <w:sz w:val="24"/>
                <w:szCs w:val="24"/>
              </w:rPr>
              <w:t xml:space="preserve"> от 26.06.2025 № РФ-59-2-03-0-00-2025-1464-0 (далее – ГПЗУ):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предельная высота зданий, строений – согласно документации по планировке территории, утвержденной постановлением администрации города Перми от 22.12.2017 № 1178, не более 10,5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</w:t>
            </w:r>
            <w:r>
              <w:rPr>
                <w:color w:val="auto"/>
                <w:sz w:val="24"/>
                <w:szCs w:val="24"/>
                <w:highlight w:val="white"/>
              </w:rPr>
              <w:t>инимальный отступ от границ Уч</w:t>
            </w:r>
            <w:r>
              <w:rPr>
                <w:color w:val="auto"/>
                <w:sz w:val="24"/>
                <w:szCs w:val="24"/>
              </w:rPr>
              <w:t xml:space="preserve">астка </w:t>
              <w:br/>
              <w:t xml:space="preserve">до места допустимого размещения зданий, строений </w:t>
              <w:br/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color w:val="auto"/>
                <w:sz w:val="24"/>
                <w:szCs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color w:val="auto"/>
                <w:sz w:val="24"/>
                <w:szCs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highlight w:val="white"/>
                <w:lang w:val="en-US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1" w:tgtFrame="https://">
              <w:r>
                <w:rPr>
                  <w:rStyle w:val="Hyperlink"/>
                  <w:color w:val="auto"/>
                  <w:sz w:val="24"/>
                  <w:szCs w:val="24"/>
                </w:rPr>
                <w:t>https://</w:t>
              </w:r>
            </w:hyperlink>
            <w:r>
              <w:rPr>
                <w:color w:val="auto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auto"/>
                <w:sz w:val="24"/>
                <w:szCs w:val="24"/>
              </w:rPr>
              <w:t>городские электрические сети»</w:t>
            </w:r>
            <w:r>
              <w:rPr>
                <w:color w:val="auto"/>
                <w:sz w:val="24"/>
                <w:szCs w:val="24"/>
              </w:rPr>
              <w:t xml:space="preserve"> от 01.07.2025 № ПЭ/ПГЭС/01/22/7870).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Участок расположен вне зоны теплоснабжения ПАО                 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                «Т Плюс»</w:t>
            </w:r>
            <w:r>
              <w:rPr>
                <w:color w:val="auto"/>
                <w:sz w:val="24"/>
                <w:szCs w:val="24"/>
              </w:rPr>
              <w:t xml:space="preserve"> от 23.06.2025 № 51000-32-02192).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электричеставо, дрова, пеллеты.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24.06.2025 № 059-04-25/3-98-ри).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Земельный участок расположен в микрорайоне Чапаевский. Источник теплоснабжения по ул. Чапаева, 6 и сети теплоснабжения находятся на обслуживании ПАО «Т Плюс» (г.Пермь, Комсомольский проспект,48, телефон 243-61-58).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администрации Орджоникидзевского района </w:t>
            </w:r>
            <w:r>
              <w:rPr>
                <w:color w:val="auto"/>
                <w:sz w:val="24"/>
                <w:szCs w:val="24"/>
              </w:rPr>
              <w:t>от 27.06.2025 № 059-37-01-32/3-3159).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23.06.2025 № ПФ-4316).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О наличии технической возможности для подключения сетей водоснабжения и водоотведения с предполагаемой величиной нагрузки 1,0 м3/сут. сообщается </w:t>
            </w:r>
            <w:r>
              <w:rPr>
                <w:color w:val="auto"/>
                <w:sz w:val="24"/>
                <w:szCs w:val="24"/>
                <w:lang w:val="ru-RU" w:eastAsia="ru-RU" w:bidi="ru-RU"/>
              </w:rPr>
              <w:t>об отсутствии в районе земельного участка централизованных сетей водопровода и канализации, эксплуатируемы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lang w:val="ru-RU" w:eastAsia="ru-RU" w:bidi="ru-RU"/>
              </w:rPr>
              <w:t>При проектировании может быть применен альтернативный метод снабжения водой-скважина, отвод канализационных стоков возможен на локальные очистные сооружения либо в выгребную яму с последующим вывозом стоков спец.  машинами, при этом состав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Размещение объекта необходимо предусматривать строго за пределами</w:t>
            </w:r>
            <w:r>
              <w:rPr>
                <w:rFonts w:eastAsia="Times New Roman" w:cs="Times New Roman"/>
                <w:color w:val="auto"/>
                <w:spacing w:val="36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охранных</w:t>
            </w:r>
            <w:r>
              <w:rPr>
                <w:rFonts w:eastAsia="Times New Roman" w:cs="Times New Roman"/>
                <w:color w:val="auto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зон сетей</w:t>
            </w:r>
            <w:r>
              <w:rPr>
                <w:rFonts w:eastAsia="Times New Roman" w:cs="Times New Roman"/>
                <w:color w:val="auto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водопровода</w:t>
            </w:r>
            <w:r>
              <w:rPr>
                <w:rFonts w:eastAsia="Times New Roman" w:cs="Times New Roman"/>
                <w:color w:val="auto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и канализации в</w:t>
            </w:r>
            <w:r>
              <w:rPr>
                <w:rFonts w:eastAsia="Times New Roman" w:cs="Times New Roman"/>
                <w:color w:val="auto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соответствии</w:t>
            </w:r>
            <w:r>
              <w:rPr>
                <w:rFonts w:eastAsia="Times New Roman" w:cs="Times New Roman"/>
                <w:color w:val="auto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норм CП,</w:t>
            </w:r>
            <w:r>
              <w:rPr>
                <w:rFonts w:eastAsia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в</w:t>
            </w:r>
            <w:r>
              <w:rPr>
                <w:rFonts w:eastAsia="Times New Roman" w:cs="Times New Roman"/>
                <w:color w:val="auto"/>
                <w:spacing w:val="-1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том</w:t>
            </w:r>
            <w:r>
              <w:rPr>
                <w:rFonts w:eastAsia="Times New Roman" w:cs="Times New Roman"/>
                <w:color w:val="auto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числе в</w:t>
            </w:r>
            <w:r>
              <w:rPr>
                <w:rFonts w:eastAsia="Times New Roman" w:cs="Times New Roman"/>
                <w:color w:val="auto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соответствии</w:t>
            </w:r>
            <w:r>
              <w:rPr>
                <w:rFonts w:eastAsia="Times New Roman" w:cs="Times New Roman"/>
                <w:color w:val="auto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таблицы</w:t>
            </w:r>
            <w:r>
              <w:rPr>
                <w:rFonts w:eastAsia="Times New Roman" w:cs="Times New Roman"/>
                <w:color w:val="auto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12.5</w:t>
            </w:r>
            <w:r>
              <w:rPr>
                <w:rFonts w:eastAsia="Times New Roman" w:cs="Times New Roman"/>
                <w:color w:val="auto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CП</w:t>
            </w:r>
            <w:r>
              <w:rPr>
                <w:rFonts w:eastAsia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42.13330.2016 «Градостроительство планировка и застройка городских и сельских поселений».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27.06.2025 № 110-9393 ).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г. Пермь, ул. Кронита, д. 8). В границах испрашиваемого земельного участка сети ПАО «Ростелеком»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pacing w:val="-6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12">
              <w:r>
                <w:rPr>
                  <w:rStyle w:val="Hyperlink"/>
                  <w:rFonts w:eastAsia="Times New Roman" w:cs="Times New Roman"/>
                  <w:b w:val="false"/>
                  <w:bCs w:val="false"/>
                  <w:color w:val="auto"/>
                  <w:spacing w:val="-6"/>
                  <w:sz w:val="24"/>
                  <w:szCs w:val="24"/>
                </w:rPr>
                <w:t>perm-mail@ural.rt.ru</w:t>
              </w:r>
            </w:hyperlink>
            <w:r>
              <w:rPr>
                <w:rFonts w:eastAsia="Times New Roman" w:cs="Times New Roman"/>
                <w:b w:val="false"/>
                <w:bCs w:val="false"/>
                <w:color w:val="auto"/>
                <w:spacing w:val="-6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21.03.2024 № 01/05/38876/24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1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(далее – ЗК РФ), обязан до подписания договора уплатить ежегодный размер арендной платы, указанный в п. 4.2 договора </w:t>
              <w:br/>
              <w:t xml:space="preserve">(за вычетом задатка, внесенного для участия </w:t>
              <w:br/>
              <w:t xml:space="preserve">в аукционе) </w:t>
            </w:r>
            <w:r>
              <w:rPr>
                <w:b/>
                <w:bCs/>
                <w:sz w:val="24"/>
                <w:szCs w:val="24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</w:rPr>
              <w:t xml:space="preserve">на счет департамента земельных отношений администрации города Перми, 614015, </w:t>
              <w:br/>
              <w:t xml:space="preserve">ул. Сибирская,15, </w:t>
              <w:br/>
              <w:t xml:space="preserve">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1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221 500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11 075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b/>
                <w:bCs/>
                <w:color w:val="000000"/>
                <w:sz w:val="24"/>
                <w:szCs w:val="24"/>
                <w:shd w:fill="auto" w:val="clear"/>
                <w14:ligatures w14:val="none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 xml:space="preserve">в соответствии со статьей 39.18 Земельного кодекса Российской Федерации, </w:t>
            </w: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110 750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05.04.2022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Droid Sans Fallback" w:cs="Lohit Devanagari"/>
                <w:color w:val="auto"/>
                <w:sz w:val="24"/>
                <w:szCs w:val="28"/>
                <w:lang w:val="ru-RU" w:eastAsia="zh-CN" w:bidi="ar-SA"/>
              </w:rPr>
              <w:t>от 28 августа 2025 г. № 21-01-03-6923 «О проведении аукциона на право заключения договора аренды земельного участка в Орджоникидзевском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микрорайон Нижнемостовая, з/у 47е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59:01:2310086:194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</w:t>
            </w:r>
            <w:r>
              <w:rPr>
                <w:sz w:val="24"/>
                <w:szCs w:val="24"/>
                <w:highlight w:val="white"/>
              </w:rPr>
              <w:t>24.09.2025г. No КУВИ-001/2025-179482398</w:t>
            </w:r>
            <w:r>
              <w:rPr>
                <w:sz w:val="24"/>
                <w:szCs w:val="24"/>
              </w:rPr>
              <w:t xml:space="preserve"> (далее –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11.07.2025 № РФ-59-2-03-0-00-2025-1603-0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Состояние рельефа ровное. Участок зарос сорной травой, низкорослыми кустарниками, лиственными деревьями. С северной стороны между обследуемым участком и участком </w:t>
              <w:br/>
              <w:t>с КН 59:01:2310086:163 по смежной границе установлен забор, с восточной стороны между обследуемым участком и участком с КН 59:01:2310086:157 по смежной границе установлен забор из профнастила. Объекты капитального/некапитального строительства отсутствуют. Доступ (подход/подъезд) к земельному участку не ограничен.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Вблизи земельного участка установлен электрический столб (опора ЛЭП), происходит провисание электрических проводов.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Близлежащий пожарный водоем расположен по адресу: вблизи дома № 118 по ул. Нижнемостовая.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администрации Орджоникидзевского района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14.07.2025 № 059-37-01-32/3-3474 и в акте обследования от 11.07.2025 № 72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В соответствии со сведениями ЕГРН </w:t>
            </w:r>
            <w:r>
              <w:rPr>
                <w:color w:themeColor="text1" w:val="000000"/>
                <w:sz w:val="24"/>
                <w:szCs w:val="24"/>
              </w:rPr>
              <w:t>в границах Участка расположено сооружение - Электросетевой комплекс (ЭСК) Подстанция 110/6 кВ «Строительная» с линиями электропередачи и трансформаторными подстанциями с кадастровым номером 59:01:0000000:49131, глубиной 1 м. Собственник - Открытое акционерное общество «Межрегиональная распределительная сетевая компания Урала».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В соответствии с пунктом 8 статьи 39.11 Кодекса земельный участок, находящийся в государственной или муниципальной собственности, не может быть предметом аукциона, если на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</w:t>
              <w:br/>
              <w:t>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Кодекса.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highlight w:val="white"/>
              </w:rPr>
              <w:t xml:space="preserve">Учитывая, что указанные линейные объекты </w:t>
            </w:r>
            <w:r>
              <w:rPr>
                <w:color w:themeColor="text1" w:val="000000"/>
                <w:sz w:val="24"/>
              </w:rPr>
              <w:t>могут размещаться на основании сервитута, публичного сервитута, в соответствии со статьей 39.36 Кодекса, наличие таких объектов на земельном участке не является основанием для отказа в предоставлении земельного участка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копией планшета 1:500 (требуется корректура) с севера на юг в границах Участка расположен забор.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геодезической съемкой, выполненной в 2023 году</w:t>
            </w:r>
            <w:r>
              <w:rPr>
                <w:color w:themeColor="text1" w:val="000000"/>
                <w:sz w:val="24"/>
                <w:szCs w:val="24"/>
              </w:rPr>
              <w:t xml:space="preserve"> с востока Участка установлен забор. С юга </w:t>
              <w:br/>
              <w:t>по Участку проходят воздушные линии электропередачи.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Согласно сведениям, содержащимся ЕГРН, ГПЗУ </w:t>
              <w:br/>
              <w:t>и градостроительной справке от 25.09.2025 № 647545</w:t>
            </w:r>
            <w:r>
              <w:rPr>
                <w:b w:val="false"/>
                <w:bCs w:val="false"/>
                <w:color w:val="FF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Савино, реестровый номер 59:32-6.55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3;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highlight w:val="whit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охранная зона ВЛ 0,4кВ от КТП-4459, реестровый номер</w:t>
            </w:r>
            <w:r>
              <w:rPr>
                <w:color w:themeColor="text1" w:val="000000"/>
                <w:sz w:val="24"/>
                <w:szCs w:val="24"/>
              </w:rPr>
              <w:t xml:space="preserve"> 59:01-6.3959.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с постановлением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23 дерева: береза 3 шт., тополь 4 шт., клен ясенелистный 1 шт., ива 13 шт., пихта 1 шт., вишня 1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21.07.2025 № 222 (прилагается).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у</w:t>
            </w:r>
            <w:r>
              <w:rPr>
                <w:b/>
                <w:color w:themeColor="text1" w:val="000000"/>
                <w:sz w:val="24"/>
                <w:szCs w:val="24"/>
              </w:rPr>
              <w:t>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21.07.2025 № 059-33-01-10/3-463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департамент дорог и благоустройства администрации города Перми </w:t>
            </w:r>
            <w:r>
              <w:rPr>
                <w:color w:themeColor="text1" w:val="000000"/>
                <w:sz w:val="24"/>
                <w:szCs w:val="24"/>
              </w:rPr>
              <w:t>от 03.07.2025 № 059-24-01-36/3-2324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(пожарный водоем) расположен в радиусе 145-150 метров по адресу: ул. Нижне-Мостовая (территория лесопилки).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Подразделение пожарной охраны расположено по адресу: ул. Васнецова, 4 (ПСЧ-7 10- 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 спасательных работ </w:t>
              <w:br/>
              <w:t>на территории Пермского городского округа, Пермского муниципально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го района»</w:t>
            </w:r>
            <w:r>
              <w:rPr>
                <w:color w:themeColor="text1" w:val="000000"/>
                <w:sz w:val="24"/>
                <w:szCs w:val="24"/>
              </w:rPr>
              <w:t>, утвержденном Главой города Перми 26.04.2024. Помещения для</w:t>
              <w:tab/>
              <w:t xml:space="preserve">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Объекты общественной безопасности, отнесенные</w:t>
              <w:br/>
              <w:t xml:space="preserve">к объектам полиции (участковые пункты полиции) </w:t>
              <w:br/>
              <w:t xml:space="preserve">в данном микрорайоне (Нижняя Мостовая) отсутствуют. Ближайший участковый пункт расположен по адресу: </w:t>
              <w:br/>
              <w:t xml:space="preserve">г. Пермь, ул. Репина, д. 67, (микрорайон Гайва, Орджоникидзевского района). В настоящее время </w:t>
              <w:br/>
              <w:t>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По информации предоставленной письмом Министерства территориальной безопасности Пермского края от 07.10.2020 № 964с, рассматриваемая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04.07.2025 № 059-10-01-27/3-1460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/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в мкр. Заозерье.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департамента жилищно-коммунального хозяйства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администрации города Перми 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07.07.2025 № 059-04-17/3-595-ри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  <w:br/>
            </w:r>
            <w:r>
              <w:rPr>
                <w:color w:themeColor="text1" w:val="000000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themeColor="text1" w:val="000000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 </w:t>
              <w:br/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themeColor="text1" w:val="000000"/>
                <w:sz w:val="24"/>
                <w:szCs w:val="24"/>
              </w:rPr>
              <w:br/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градостроительному плану земельного участка от 11.07.2025 № РФ-59-2-03-0-00-2025-1603-0 (далее – ГПЗУ):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минимальный отступ от границ Участка до места допустимого размещения зданий, строений </w:t>
              <w:br/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предельная высота зданий, строений – не более 10,5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м</w:t>
            </w:r>
            <w:r>
              <w:rPr>
                <w:color w:themeColor="text1" w:val="000000"/>
                <w:sz w:val="24"/>
                <w:highlight w:val="white"/>
              </w:rPr>
              <w:t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  <w:lang w:val="en-US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4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5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z w:val="24"/>
                <w:szCs w:val="24"/>
              </w:rPr>
              <w:t xml:space="preserve"> от 15.07.2025 № ПЭ/ПГЭС/01/22/8575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Участок находится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ПАО «Т Плюс»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04.07.2025 № 51000-32-02418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департамент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</w:rPr>
              <w:t xml:space="preserve"> от 08.07.2025 № 059-04-25/3-123-ри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z w:val="24"/>
                <w:szCs w:val="24"/>
              </w:rPr>
              <w:t xml:space="preserve"> от 31.07.2025 № ПФ-5399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подключения сетей водоснабжения и водоотведения с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 предполагаемой величиной нагрузки 1,0 м3/сут. сообщается </w:t>
            </w:r>
            <w:r>
              <w:rPr>
                <w:color w:themeColor="text1" w:val="000000"/>
                <w:sz w:val="24"/>
                <w:szCs w:val="24"/>
              </w:rPr>
              <w:t>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6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 районе вышеуказанного земельного участка отсутствуют централизованные сети водопровода 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5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Альтернативным методом снабжения водой вышеуказанного объекта может быть скважина, отвод канализационных стоков возможен на локальные очистные сооружения либо в выгребную яму с последующим  вывозом  стоков спец машинами, при этом состав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сведения сообщаем, в связи с тем, что ООО «НОВОГОР-Прикамье» эксплуатирует только централизованные системы водоснабжения и водоотведения, по вопросу возможности обеспечения жилого дома холодным водоснабжением от скважины и отвод канализационных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ООО «НОВОГОР-Прикамье»</w:t>
            </w:r>
            <w:r>
              <w:rPr>
                <w:color w:themeColor="text1" w:val="000000"/>
                <w:sz w:val="24"/>
                <w:szCs w:val="24"/>
              </w:rPr>
              <w:t xml:space="preserve"> от 07.07.2025 № 110-9843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Писарева, 33),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Для получения технических условий на подключение</w:t>
              <w:br/>
              <w:t xml:space="preserve">к сетям связи ПАО «Ростелеком» необходимо обратиться в Отдел продаж и обслуживания по адресу: г. Пермь, </w:t>
              <w:br/>
              <w:t xml:space="preserve">ул. Крупской, 2, тел.: (342) 235-57-34 или направить запрос на </w:t>
            </w:r>
            <w:hyperlink r:id="rId16">
              <w:r>
                <w:rPr>
                  <w:rStyle w:val="Hyperlink"/>
                  <w:b w:val="false"/>
                  <w:bCs w:val="false"/>
                  <w:color w:themeColor="text1" w:val="000000"/>
                  <w:sz w:val="24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10.07.2025 № 01/05/101911/25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2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(далее – ЗК РФ), обязан до подписания договора уплатить ежегодный размер арендной платы, указанный в п. 4.2 договора </w:t>
              <w:br/>
              <w:t xml:space="preserve">(за вычетом задатка, внесенного для участия </w:t>
              <w:br/>
              <w:t xml:space="preserve">в аукционе) </w:t>
            </w:r>
            <w:r>
              <w:rPr>
                <w:b/>
                <w:bCs/>
                <w:sz w:val="24"/>
                <w:szCs w:val="24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</w:rPr>
              <w:t xml:space="preserve">на счет департамента земельных отношений администрации города Перми, 614015, </w:t>
              <w:br/>
              <w:t xml:space="preserve">ул. Сибирская,15, </w:t>
              <w:br/>
              <w:t xml:space="preserve">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2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121 800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6 090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b/>
                <w:bCs/>
                <w:color w:val="000000"/>
                <w:sz w:val="24"/>
                <w:szCs w:val="24"/>
                <w:shd w:fill="auto" w:val="clear"/>
                <w14:ligatures w14:val="none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 xml:space="preserve">в соответствии со статьей 39.18 Земельного кодекса Российской Федерации, </w:t>
            </w: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60 900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17.06.2025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2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02.10.2025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11.11.2025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12.11.2025.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13.11</w:t>
      </w:r>
      <w:r>
        <w:rPr>
          <w:rFonts w:eastAsia="Courier New"/>
          <w:b/>
          <w:lang w:bidi="ru-RU"/>
        </w:rPr>
        <w:t>.2025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highlight w:val="none"/>
        </w:rPr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7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02.10.2025 по 11.11.2025.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>участника аукциона, который сделал предпоследнее предложение 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02.10.2025 по 11.11.2025 с 9.00 до 18.00 по местному времени (7:00 – 16:00 МСК). 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о проведении аукциона файлы документов (при необходимости). Документы и сведения из регистрационных данных заявителя на универсальной торговой платформе, актуальные на дату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highlight w:val="none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 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Проекты договоров является частью извещения и представлены в Приложениях 1-2  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18"/>
      <w:headerReference w:type="first" r:id="rId19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26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2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5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5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5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5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5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6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3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3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3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4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4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4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4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mailto:perm-mail@ural.rt.ru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https://" TargetMode="External"/><Relationship Id="rId16" Type="http://schemas.openxmlformats.org/officeDocument/2006/relationships/hyperlink" Target="mailto:perm-mail@ural.rt.ru" TargetMode="External"/><Relationship Id="rId17" Type="http://schemas.openxmlformats.org/officeDocument/2006/relationships/hyperlink" Target="http://utp.sberbank-ast.ru/AP/Notice/653/Requisites" TargetMode="External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Application>LibreOffice/7.6.7.2$Linux_X86_64 LibreOffice_project/60$Build-2</Application>
  <AppVersion>15.0000</AppVersion>
  <Pages>26</Pages>
  <Words>8578</Words>
  <Characters>60917</Characters>
  <CharactersWithSpaces>69371</CharactersWithSpaces>
  <Paragraphs>380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2025-10-01T17:11:20Z</dcterms:modified>
  <cp:revision>289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