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14.10.2025 № 059-19-01-11-150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20.11.2025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14.10.2025 № 059-19-01-11-150.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и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04 сентября 2025 г. № 21-01-03-7066 «О проведении аукциона по продаже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Башкирская, з/у 50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59:01:1810045:182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06.10.2025г. No КУВИ-001/2025-186698514 (далее —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auto"/>
                <w:sz w:val="24"/>
              </w:rPr>
              <w:t>01.08.2025 № РФ-59-2-03-0-00-2025-1850-0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Участке капитальных/некапитальных объектов не выявлено. Земельный участок не огорожен.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59:01:1810045:182, расположен по адресу: г. Пермь, ул. Ирбитская, 34 (пожарный водоем).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Кировского района </w:t>
            </w:r>
            <w:r>
              <w:rPr>
                <w:color w:val="auto"/>
                <w:sz w:val="24"/>
                <w:szCs w:val="24"/>
              </w:rPr>
              <w:t>от 24.07.2025 № 059-23-01-25/3-339 и в акте обследования от 24.07.2025 №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объекты капитального/некапитального строительства в границах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В соответствии с геодезической съемкой, выполненной </w:t>
              <w:br/>
              <w:t xml:space="preserve">в 2022 году, в границах Участка расположены: с западной стороны ограждение смежного землепользователя </w:t>
              <w:br/>
              <w:t>из проволочной сетки, с восточной – деревянное ограждение и частично некапитальное строение смежного землепользователя, с северной – две металлические трубы. Участок зарос кустарником.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08.10.2025  №</w:t>
            </w:r>
            <w:r>
              <w:rPr>
                <w:color w:themeColor="text1" w:val="000000"/>
                <w:sz w:val="24"/>
                <w:szCs w:val="24"/>
              </w:rPr>
              <w:t xml:space="preserve"> 649235 </w:t>
            </w:r>
            <w:r>
              <w:rPr>
                <w:color w:val="auto"/>
                <w:sz w:val="24"/>
                <w:szCs w:val="24"/>
              </w:rPr>
              <w:t>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 xml:space="preserve">от 11.03.2010 № 138 «Об утверждении Федеральных правил использования воздушного пространства Российской Федерации»: «Запрещается размещать </w:t>
              <w:br/>
              <w:t xml:space="preserve">в полосах воздушных подходов на удалении до 30 км, </w:t>
              <w:br/>
              <w:t xml:space="preserve">а вне полос воздушных подходов – до 15 км </w:t>
              <w:br/>
              <w:t>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На Участке произрастает 27 деревьев: ель 9 шт., береза 18 шт., поросль лиственная 25 </w:t>
            </w:r>
            <w:r>
              <w:rPr>
                <w:color w:val="auto"/>
                <w:sz w:val="24"/>
                <w:szCs w:val="24"/>
              </w:rPr>
              <w:t>кв.м.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  <w:highlight w:val="white"/>
              </w:rPr>
              <w:t>перечне мероприятий по охране окружающей среды от 11.05.2023 № 216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12.05.2023 № 059-33-01-10/3-372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Считает возможным предоставление земельного участка при следующих условия</w:t>
            </w:r>
            <w:r>
              <w:rPr>
                <w:color w:val="auto"/>
                <w:sz w:val="24"/>
                <w:szCs w:val="24"/>
                <w:highlight w:val="white"/>
              </w:rPr>
              <w:t>х, указанных в настоящем письме.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Мероприятия по проектированию, строительству, реконструкции и капитальному ремонту улично-дорожной сети в границах указанного участка бюджетом города Перми на 2023 год не запланированы.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17.04.2023 № 059-24-01-36/3-1263).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Ближайшее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полиции), </w:t>
              <w:br/>
              <w:t xml:space="preserve">в данном микрорайоне (Налимиха) отсутствуют. Ближайший участковый пункт расположен по адресу: </w:t>
              <w:br/>
              <w:t>г. Пермь, ул. Судозаводская, д. 8 (микрорайон Водники, Кировского район). В настоящее время в указанном микрорайоне,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районе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 противопожарного водоснабжения (пожарный водоём), расположен на пересечении улиц Копейская/Ирбитская в радиусе - 620 метров.</w:t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rFonts w:ascii="Times New Roman" w:hAnsi="Times New Roman" w:cs="Times New Roman"/>
                <w:color w:themeColor="accent5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требованиях пожарной безопасности», Свода правил 8.13130. «Системы противопожарной защиты. Источники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наружного противопожарного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водоснабжения. Требования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 информации, предоставленной Министерством территориальной безопасности Пермского края, рассматриваемая территория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</w:t>
              <w:br/>
              <w:t>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18.04.2023 № 059-10-01-27/3-654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 xml:space="preserve"> от 17.04.2023 № 059-04-17/3-257-ри).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градостроительному плану земельного участка от 01.08.2025 № РФ-59-2-03-0-00-2025-1850-0 (далее – ГПЗУ):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инимальный отступ от границ Уч</w:t>
            </w:r>
            <w:r>
              <w:rPr>
                <w:color w:val="auto"/>
                <w:sz w:val="24"/>
              </w:rPr>
              <w:t xml:space="preserve">астка до места допустимого размещения зданий, строений </w:t>
              <w:br/>
            </w:r>
            <w:r>
              <w:rPr>
                <w:color w:val="auto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val="auto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</w:rPr>
              <w:t>максимальный процент застройки в границах Участка – 40%.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Согласно документации по планировке территории, утверждённой постановлением администрации города Перми от 23.12.2016 № 1159, предельная высота жилой застройки – до 10,5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/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Сообщается </w:t>
            </w: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PCT Пермского края от 29.11.2022 № 111-тп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Электроснабжение объектов, размещаемых </w:t>
              <w:br/>
              <w:t>на указанных площадках, возможно будет осуществить 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электрическим сетям филиала «Пермэнерго» (при подготовке ГПЗУ необходимо предусмотреть трассы для строительства ЛЭП 0,4 кВ).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trike w:val="false"/>
                <w:dstrike w:val="false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0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04.05.2023 № ПЭ/ПГЭС/22/306).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13.04.2023 № 51000-32-01131).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Рекомендовано рассмотреть альтернативный источник теплоснабжения – газ. 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</w:t>
            </w:r>
            <w:r>
              <w:rPr>
                <w:strike w:val="false"/>
                <w:dstrike w:val="false"/>
                <w:color w:val="auto"/>
                <w:sz w:val="24"/>
                <w:szCs w:val="24"/>
                <w:highlight w:val="white"/>
              </w:rPr>
              <w:t>04.08.2025 № 059-04-25/3-137-ри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auto"/>
                <w:sz w:val="24"/>
                <w:szCs w:val="24"/>
              </w:rPr>
              <w:t>от 18.04.2023 № ПФ-2444).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сетью водоснабжения, эксплуатируемой ООО «НОВОГОР-Прикамье», является водопровод Д-150 мм по ул. Солдатская, ориентировочной протяженностью - 1193 м.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Ближайшей сетью водоотведения, эксплуатируемой ООО «НОВОГОР-Прикамье». является сеть канализации Д-600 мм по ул. Разъездная, ориентировочной протяженностью - 1746 м.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могут быть применены альтернативные способы водоснабжения и водоотведения, без подключения к централизованным системам водопровода и канализации г. Перми (снабжение водой от скважины, отвод стоков </w:t>
              <w:br/>
              <w:t>на локальные очистные сооружения, канализование объекта в выгребную яму с последующим вывозом стоков спец. машинами), которые должны соответствовать всем нормативным требованиям Российской Федерации.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границах земельного участка отсутствуют централизованные сети водопровода 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19.04.2023 № 110-6332).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Маршала Рыбалко, д. 84а),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В границах Участка сети связи ПАО «Ростелеком» 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Для получения технических условий на подключение </w:t>
              <w:br/>
              <w:t xml:space="preserve">к сетям связи ПАО «Ростелеком» необходимо обратиться в Отдел продаж и обслуживания по адресу: г. Пермь, </w:t>
              <w:br/>
              <w:t xml:space="preserve">ул. Крупской, 2, тел.: (342) 235-57-34 или направить запрос на </w:t>
            </w:r>
            <w:hyperlink r:id="rId11">
              <w:r>
                <w:rPr>
                  <w:rStyle w:val="Hyperlink"/>
                  <w:b w:val="false"/>
                  <w:bCs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24.07.2025 № 01/05/108801/25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аукциона,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3 949 600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197 480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1 974 800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sz w:val="24"/>
                <w:szCs w:val="28"/>
              </w:rPr>
              <w:t>от 23 июля 2025 г. № 21-01-03-5967  «О проведении аукциона по продаже земельного участка в Орджоникидзевском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Российская Федерация, Пермский край, городской округ Пермский, город Пермь, улица Осиновая, з/у 28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>59:01:3812353:271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от </w:t>
            </w:r>
            <w:r>
              <w:rPr>
                <w:rFonts w:eastAsia="TimesNewRomanPSMT"/>
                <w:sz w:val="24"/>
                <w:szCs w:val="24"/>
                <w:highlight w:val="white"/>
              </w:rPr>
              <w:t>24.09.2025г. No КУВИ-001/2025-179683351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</w:t>
            </w:r>
            <w:r>
              <w:rPr>
                <w:sz w:val="24"/>
              </w:rPr>
              <w:t>.12.2024 № РФ-59-2-03-0-00-2024-2520-0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ходе проведения визуального осмотра установлено что земельный участок ничем не огорожен, доступ не ограничен, рельеф ровный. На земельном участке произрастают лиственные деревья. Объекты капитального/некапитального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пожарные гидранты относительно вышеуказанного земельного участка расположены по адресам: Пермский край, г. Пермь, Орджоникидзевский район, ул. Осиновая, 37, ул. Домостроительная, 59, 65, 69, 72, 80, 85, ул. Александра Щербакова, 66, 75, 89, 2-й Черемуховый пер., 44.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администрации Орджоникидзевского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21.05.2025 № 059-37-01-32/3-2374 и в акте обследования земельного участка от 20.05.2025 № 48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копии планшета М 1:500, требующего корректуры, на земельном участке расположена часть некапитального строения.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архивах ГБУ «ЦТИ ПК» информация относительно домовладения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ГБУ ПК «Центр технической инвентаризации и кадастровой оценки Пермского края»</w:t>
            </w:r>
            <w:r>
              <w:rPr>
                <w:color w:themeColor="text1" w:val="000000"/>
                <w:sz w:val="24"/>
                <w:szCs w:val="24"/>
              </w:rPr>
              <w:t xml:space="preserve"> от 02.10.2025 № 31.2-1.00.Исх-13001).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геодезической съемки, выполненной в 2024 году по северо-западной и юго-восточной границам земельного участка установлен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 сведениями ЕГРН капитальные/некапитальные строения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76 деревьев: черемуха – 7 шт., ива – 3 шт., береза – 66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Победителю аукциона необходимо соблюдать условия строительства, перечисленные в перечне мероприятий по охране окружающей среды от 26.11.2024 № 257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26.11.2024 № 059-33-01-10/3-764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 «Об утверждении Правил благоустройства территории города Перми»,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40" w:beforeAutospacing="0" w:before="0" w:afterAutospacing="0" w:after="0"/>
              <w:ind w:hanging="0" w:left="0" w:right="0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</w:rPr>
              <w:t xml:space="preserve">     </w:t>
            </w:r>
            <w:r>
              <w:rPr>
                <w:color w:themeColor="text1" w:val="000000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21.11.2024 № 059-24-01-36/3-4228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Строительство пожарного водоема на указанной территории не запланировано.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Ближайшее подразделение пожарной охраны расположено по адресу: ул. Васнецова, 7 (ПСЧ-7 10-ПСО);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формирований </w:t>
              <w:br/>
              <w:t>на указанной территории отсутствуют. В настоящее время потребность в обеспечении служебными помещениями для аварийно-спасательных формирований в указанном микрорайоне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имеется источник противопожарного водоснабжения: пожарный гидрант, расположенный по ул. Осиновая, 37 – на расстоянии 120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расположены по адресу: г. Пермь, ул. Героя Васькина, д. 3 (микрорайон Домостроительный, Орджоникидзевский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Данная территория находится в зоне действия региональной автоматизированной системы централизованного оповещения населения города Перми, установленной по адресу: ул. Социалистическая, д. 26 – 600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21.11.2024 № 059-10-01-27/3-1931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20.11.2024 № 059-04-17/3-1152-ри).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на территории, в границах которой предусматриваются </w:t>
            </w:r>
            <w:r>
              <w:rPr>
                <w:b/>
                <w:sz w:val="24"/>
                <w:szCs w:val="24"/>
              </w:rPr>
              <w:t>требования к архитектурно-градостроительному облику объектов капитального строительства</w:t>
            </w:r>
            <w:r>
              <w:rPr>
                <w:sz w:val="24"/>
                <w:szCs w:val="24"/>
              </w:rPr>
              <w:t xml:space="preserve"> в соответствии со статьей 52.9 Правил землепользования и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 проектировании и строительстве необходимо учитывать требования к архитектурно-градостроительному облику объектов капитального строительства, утвержденные постановлением Правительства Пермского края от 21.08.2023 № 633-п «О внесении изменений в ПЗЗ».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 требованиях архитектурно-градостроительного облика объекта указана в п. 12 градостроительного плана земельного участка от 03.12.2024 № РФ-59-2-03-0-00-2024-2520-0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themeColor="text1" w:val="000000"/>
                <w:sz w:val="24"/>
                <w:szCs w:val="24"/>
              </w:rPr>
              <w:br/>
            </w:r>
            <w:r>
              <w:rPr>
                <w:color w:themeColor="text1" w:val="000000"/>
                <w:sz w:val="24"/>
                <w:szCs w:val="24"/>
                <w:lang w:val="en-US"/>
              </w:rPr>
              <w:t>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 от 03.12.2024 № РФ-59-2-03-0-00-2024-2520-0: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</w:rPr>
              <w:t>м</w:t>
            </w:r>
            <w:r>
              <w:rPr>
                <w:color w:themeColor="text1" w:val="000000"/>
                <w:sz w:val="24"/>
                <w:highlight w:val="white"/>
              </w:rPr>
              <w:t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 от 23.12.2015 № 1102, до 10,5 м;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Сообщается 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 Правилами недискриминационного доступа, утвержденными постановлением Правительства Российской Федерации № 861 от 27.12.2024 года ( в посл. Редакции) (далее – Правила), конкретные технические условия на энергосбережение объекта будут разработаны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Плата за технологическое присоединение энергопринимающих устройств устанавливается исходя из стоимости мероприятий по технологическому присоединению, размер платы определяется по утвержденным тарифам согласно постановлению РСТ Пермского края от 23.11.2023 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Электроснабжение объектов, размещаемых на указанной площадке, возможно будет осуществить при условии строительства питающих линий электропередач 0,4 кВ на основании договора об осуществлении технологического присоединения объекта к электрическим сетям филиала «Пермэнерго» (при подготовке ГПЗУ необходимо предусмотреть трассы для строительства ЛЭП 0,4 кВ).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заключения договора на технологическое присоединение необходимо подать заявку с приложением необходимых документов и сведений, указанных в п. 10 Правил через единый федеральный портал электросетевых услуг группы компаний «Россети» на сайте: </w:t>
            </w:r>
            <w:hyperlink r:id="rId13">
              <w:r>
                <w:rPr>
                  <w:rStyle w:val="ListLabel39"/>
                  <w:color w:themeColor="text1" w:val="000000"/>
                  <w:sz w:val="24"/>
                  <w:szCs w:val="24"/>
                </w:rPr>
                <w:t>https://портал-тп.рф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или через Мобильное приложение ПАО «Россети».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Филиала ПАО «Россети Урал» - «Пермэнерго» Пермские городские электрические сети</w:t>
            </w:r>
            <w:r>
              <w:rPr>
                <w:color w:themeColor="text1" w:val="000000"/>
                <w:sz w:val="24"/>
                <w:szCs w:val="24"/>
              </w:rPr>
              <w:t xml:space="preserve"> от 03.12.2024 № ПЭ/ПГЭС/01/22/13440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23.07.2024 № 51000-32-02370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Департамент жилищно-коммунального хозяйства администрации города Перми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23.05.2025 № 059-04-17/3-427-ри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 теплоснабжения по ул. Таганрогская, 13 и сети теплоснабжения находятся на обслуживании ПАО «Т Плюс» (г. Пермь, Комсомольский проспект, 48, телефон 243-61-58)</w:t>
            </w:r>
            <w:r>
              <w:rPr>
                <w:color w:themeColor="text1" w:val="000000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администрации Орджоникидзевского района города Перм</w:t>
            </w:r>
            <w:r>
              <w:rPr>
                <w:color w:themeColor="text1" w:val="000000"/>
                <w:sz w:val="24"/>
                <w:szCs w:val="24"/>
              </w:rPr>
              <w:t>и от 27.05.2025 № 059-37-01-32/3-2516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о заключении договора о подключении (технологическом присоединении) по типовой форме 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</w:t>
            </w:r>
            <w:hyperlink r:id="rId14" w:tgtFrame="http://post@pf.ugaz.ru">
              <w:r>
                <w:rPr>
                  <w:rStyle w:val="ListLabel40"/>
                  <w:color w:themeColor="text1" w:val="000000"/>
                  <w:sz w:val="24"/>
                  <w:szCs w:val="24"/>
                </w:rPr>
                <w:t>post@pf.ugaz.ru</w:t>
              </w:r>
            </w:hyperlink>
            <w:r>
              <w:rPr>
                <w:color w:themeColor="text1" w:val="000000"/>
                <w:sz w:val="24"/>
                <w:szCs w:val="24"/>
              </w:rPr>
              <w:t>; почтой России по адресу: 614107, Пермский край, г. Пермь, ул. Уральская, д. 104; через Единый центр предоставления услуг по адресу: г. Пермь, ул. Уральская,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>от 21.11.2024 № ПФ-7666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Ближайшей точкой подключения к сетям водоснабжения, эксплуатируемой ООО «Новогор-Прикамье», является водопровод Д-200 мм по ул. Осиновая.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Ближайшей точкой подключения к сетям водоотведения, эксплуатируемой ООО «Новогор-Прикамье», является сеть канализации Д-150 мм по ул. Домостроительная.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границах Участка отсутствуют сети водопровода </w:t>
              <w:br/>
              <w:t>и канализации,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сведения сообщается, что размещение объекта необходимо предусматривать строго за пределами охранных зон сетей водопровода и канализации в соответствии норм СП, в том числе в соответствии таблицы 12.5 СП 42.13330.2016 «Градостроительство планировка и застройка городских и сельских поселений».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ООО «НОВОГОР-Прикамье»</w:t>
            </w:r>
            <w:r>
              <w:rPr>
                <w:color w:themeColor="text1" w:val="000000"/>
                <w:sz w:val="24"/>
                <w:szCs w:val="24"/>
              </w:rPr>
              <w:t xml:space="preserve"> от 21.11.2024 № 110-19063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Технологическое присоединение к сетям связи  планируемого к строительству объекта в границах Участка может быть произведено в точке подключения ВОЛС (г. Пермь, ул. Кронита, 8).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подключения (технологического присоединения)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 по адресу: г. Пермь, ул. Крупской, 2, тел.: (342) 235-57-34 или направить запрос на </w:t>
            </w:r>
            <w:hyperlink r:id="rId15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perm-mail@ural.rt.ru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27.11.2024 № 01/05/182488/24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2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 xml:space="preserve"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2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2 328 000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732" w:leader="none"/>
              </w:tabs>
              <w:ind w:hanging="0" w:left="-36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116 400 </w:t>
            </w:r>
            <w:r>
              <w:rPr>
                <w:sz w:val="24"/>
                <w:szCs w:val="24"/>
              </w:rPr>
              <w:t>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1 164 000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2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15.10.2025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18.11.2025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19.11.2025.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20.11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15.10.2025 по 18.11.2025.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20 или 25 ст. 39.12 Земельного кодекса Российской Федерации,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15.10.2025 по 18.11.2025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являются частью извещения и представлены в Приложениях 1-2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7"/>
      <w:headerReference w:type="first" r:id="rId1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24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b w:val="false"/>
        <w:szCs w:val="24"/>
        <w:bCs w:val="false"/>
        <w:color w:themeColor="text1"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780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3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85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6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s:/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s://&#1087;&#1086;&#1088;&#1090;&#1072;&#1083;-&#1090;&#1087;.&#1088;&#1092;" TargetMode="External"/><Relationship Id="rId14" Type="http://schemas.openxmlformats.org/officeDocument/2006/relationships/hyperlink" Target="http://post@pf.ugaz.ru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http://utp.sberbank-ast.ru/AP/Notice/653/Requisites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Application>LibreOffice/7.6.7.2$Linux_X86_64 LibreOffice_project/60$Build-2</Application>
  <AppVersion>15.0000</AppVersion>
  <Pages>24</Pages>
  <Words>7740</Words>
  <Characters>55201</Characters>
  <CharactersWithSpaces>62721</CharactersWithSpaces>
  <Paragraphs>363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2025-10-14T16:05:17Z</dcterms:modified>
  <cp:revision>316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