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Протокол рассмотрения зая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вок на участие в электронном аукционе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 15.10.2025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762" w:left="4762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040" w:leader="none"/>
        </w:tabs>
        <w:suppressAutoHyphens w:val="true"/>
        <w:bidi w:val="0"/>
        <w:spacing w:lineRule="auto" w:line="276" w:before="0" w:after="0"/>
        <w:ind w:hanging="1984" w:left="1984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>рассмотрев заявки 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16.10.2025 (процедура № SBR012-2508260028), решила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59:01:3911374:164 площадью 491 кв. м, расположенного по адресу: Российская Федерация, Пермский край, городской округ Пермский, город Пермь, улица Калгановская, з/у 73а,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1652"/>
        <w:gridCol w:w="1014"/>
        <w:gridCol w:w="1400"/>
        <w:gridCol w:w="1441"/>
        <w:gridCol w:w="1295"/>
        <w:gridCol w:w="2392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Третьяков Павел Валерьевич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6081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02.09.2025 18:47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>№ 1</w:t>
      </w: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 в связи с тем, что по окончании срока подачи заявок на участие в аукционе по данному лоту подана только одна заявка на участие в аукционе, и  на основании результатов рассмотрения заявок на участие  в аукционе принято решение об отказе в допуске заявителя, подавшего указанную заявку,  к участию в аукционе.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jc w:val="both"/>
        <w:rPr/>
      </w:pPr>
      <w:r>
        <w:rPr/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sz w:val="28"/>
          <w:szCs w:val="24"/>
        </w:rPr>
      </w:pPr>
      <w:r>
        <w:rPr>
          <w:rFonts w:eastAsia="Droid Sans Fallback" w:cs="Lohit Devanagari"/>
          <w:color w:val="auto"/>
          <w:sz w:val="28"/>
          <w:szCs w:val="24"/>
          <w:highlight w:val="white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Ю.И. Четина</w:t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LibreOffice/7.6.7.2$Linux_X86_64 LibreOffice_project/60$Build-2</Application>
  <AppVersion>15.0000</AppVersion>
  <Pages>2</Pages>
  <Words>371</Words>
  <Characters>2566</Characters>
  <CharactersWithSpaces>3259</CharactersWithSpaces>
  <Paragraphs>46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2025-10-15T09:47:54Z</cp:lastPrinted>
  <dcterms:modified xsi:type="dcterms:W3CDTF">2025-10-15T09:49:30Z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