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PlainText"/>
        <w:ind w:hanging="1134" w:left="1134" w:right="-261"/>
        <w:jc w:val="center"/>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30.10.2025 № 059-19-01-11-162</w:t>
      </w:r>
    </w:p>
    <w:p>
      <w:pPr>
        <w:pStyle w:val="Normal"/>
        <w:tabs>
          <w:tab w:val="clear" w:pos="708"/>
          <w:tab w:val="left" w:pos="4732" w:leader="none"/>
        </w:tabs>
        <w:ind w:left="283"/>
        <w:jc w:val="center"/>
        <w:rPr>
          <w:sz w:val="28"/>
          <w:szCs w:val="28"/>
        </w:rPr>
      </w:pPr>
      <w:r>
        <w:rPr>
          <w:sz w:val="28"/>
          <w:szCs w:val="28"/>
        </w:rPr>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Извещение о проведении 04.12.2025 электронного аукциона на право заключения договора аренды земельного участка</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Электронный аукцион на право заключения договора аренды земельного участка </w:t>
        <w:br/>
        <w:t xml:space="preserve">(далее – аукцион) проводится в соответствии со статьями 39.11, 39.12, 39.13, 39.18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614015, г. Пермь, ул. Сибирская,14, почтовый адрес: 614015,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24"/>
          <w:szCs w:val="24"/>
        </w:rPr>
        <w:t xml:space="preserve"> </w:t>
      </w:r>
      <w:r>
        <w:rPr>
          <w:bCs/>
          <w:sz w:val="24"/>
          <w:szCs w:val="28"/>
        </w:rPr>
        <w:t>30.10.2025 № 059-19-01-11-162.</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право заключение договора аренды земельного участка: </w:t>
      </w:r>
      <w:r>
        <w:rPr>
          <w:bCs/>
        </w:rPr>
        <w:t>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Normal"/>
        <w:widowControl w:val="false"/>
        <w:ind w:firstLine="567" w:left="-567"/>
        <w:jc w:val="both"/>
        <w:rPr>
          <w:b/>
          <w:bCs/>
        </w:rPr>
      </w:pPr>
      <w:r>
        <w:rPr>
          <w:b/>
          <w:bCs/>
        </w:rPr>
      </w:r>
    </w:p>
    <w:p>
      <w:pPr>
        <w:pStyle w:val="PlainText"/>
        <w:spacing w:lineRule="exact" w:line="240"/>
        <w:ind w:hanging="1134" w:left="1134"/>
        <w:jc w:val="center"/>
        <w:rPr>
          <w:b/>
          <w:lang w:val="ru-RU"/>
        </w:rPr>
      </w:pPr>
      <w:r>
        <w:rPr>
          <w:rFonts w:cs="Times New Roman" w:ascii="Times New Roman" w:hAnsi="Times New Roman"/>
          <w:b/>
          <w:sz w:val="28"/>
          <w:szCs w:val="28"/>
          <w:lang w:val="ru-RU"/>
        </w:rPr>
        <w:t>Сведения о лотах (предметах аукциона)</w:t>
      </w:r>
    </w:p>
    <w:p>
      <w:pPr>
        <w:pStyle w:val="Normal"/>
        <w:tabs>
          <w:tab w:val="clear" w:pos="708"/>
          <w:tab w:val="left" w:pos="5103" w:leader="none"/>
        </w:tabs>
        <w:ind w:right="-263"/>
        <w:rPr>
          <w:b/>
          <w:bCs/>
        </w:rPr>
      </w:pPr>
      <w:r>
        <w:rPr>
          <w:b/>
          <w:bCs/>
          <w:lang w:val="en-US"/>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auto"/>
                <w:sz w:val="24"/>
                <w:szCs w:val="28"/>
                <w:lang w:val="ru-RU" w:eastAsia="zh-CN" w:bidi="ar-SA"/>
              </w:rPr>
              <w:t>от 01 августа   2025 г. № 21-01-03-6198 «О проведении аукциона на право заключения договора аренды земельного участка в Орджоникидзевском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Трясолобова, з/у 25</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1511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59:01:2512475:192</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 xml:space="preserve">в выписке из Единого государственного реестра недвижимости об объекте недвижимости  </w:t>
            </w:r>
            <w:r>
              <w:rPr>
                <w:sz w:val="24"/>
                <w:szCs w:val="24"/>
                <w:highlight w:val="white"/>
              </w:rPr>
              <w:t>17.10.2025г. No КУВИ-001/2025-193199649</w:t>
            </w:r>
            <w:r>
              <w:rPr>
                <w:sz w:val="24"/>
                <w:szCs w:val="24"/>
              </w:rPr>
              <w:t xml:space="preserve">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11.07.2025 № РФ-59-2-03-0-00-2025-1606-0 (далее – ГПЗУ).</w:t>
            </w:r>
          </w:p>
          <w:p>
            <w:pPr>
              <w:pStyle w:val="Normal"/>
              <w:jc w:val="both"/>
              <w:rPr>
                <w:sz w:val="24"/>
                <w:szCs w:val="24"/>
              </w:rPr>
            </w:pPr>
            <w:r>
              <w:rPr>
                <w:sz w:val="24"/>
                <w:szCs w:val="24"/>
              </w:rPr>
            </w:r>
          </w:p>
          <w:p>
            <w:pPr>
              <w:pStyle w:val="Normal"/>
              <w:tabs>
                <w:tab w:val="clear" w:pos="708"/>
                <w:tab w:val="right" w:pos="6000" w:leader="none"/>
              </w:tabs>
              <w:spacing w:lineRule="auto" w:line="240" w:before="0" w:after="0"/>
              <w:ind w:firstLine="311"/>
              <w:jc w:val="both"/>
              <w:rPr>
                <w:rFonts w:ascii="Times New Roman" w:hAnsi="Times New Roman"/>
                <w:highlight w:val="white"/>
                <w14:ligatures w14:val="none"/>
              </w:rPr>
            </w:pPr>
            <w:r>
              <w:rPr>
                <w:sz w:val="24"/>
                <w:szCs w:val="24"/>
                <w:highlight w:val="white"/>
              </w:rPr>
              <w:t>Состояние рельефа земельного участка ровное. Участок зарос сорной травой, лиственными деревьями (есть многолетние). С западной стороны между обследуемым участком и участками с кадастровыми номерами: 59:01:2512475:186; 59:01:2512475:185 по смежной границе установлен забор из профнастила. В пределах видимости на части земельного участка размещены: строительные материалы (газоблок на поддонах), хозяйственная дощатая постройка (деревянный туалет), строительный мусор, поваленное дерево.</w:t>
            </w:r>
          </w:p>
          <w:p>
            <w:pPr>
              <w:pStyle w:val="Normal"/>
              <w:tabs>
                <w:tab w:val="clear" w:pos="708"/>
                <w:tab w:val="right" w:pos="6000" w:leader="none"/>
              </w:tabs>
              <w:spacing w:lineRule="auto" w:line="240" w:before="0" w:after="0"/>
              <w:ind w:firstLine="311"/>
              <w:jc w:val="both"/>
              <w:rPr>
                <w:rFonts w:ascii="Times New Roman" w:hAnsi="Times New Roman"/>
                <w:highlight w:val="white"/>
                <w14:ligatures w14:val="none"/>
              </w:rPr>
            </w:pPr>
            <w:r>
              <w:rPr>
                <w:sz w:val="24"/>
                <w:szCs w:val="24"/>
                <w:highlight w:val="white"/>
                <w14:ligatures w14:val="none"/>
              </w:rPr>
              <w:t>Принято решение о проведении мероприятий в соответствии с Положением о порядке выявления и демонтажа, самовольно установленных и незаконно размещенных движимых объектов на территории города Перми, утвержденным решением Пермской городской Думы от 08.11.2005 № 192.</w:t>
            </w:r>
          </w:p>
          <w:p>
            <w:pPr>
              <w:pStyle w:val="Normal"/>
              <w:tabs>
                <w:tab w:val="clear" w:pos="708"/>
                <w:tab w:val="right" w:pos="6000" w:leader="none"/>
              </w:tabs>
              <w:spacing w:lineRule="auto" w:line="240" w:before="0" w:after="0"/>
              <w:ind w:firstLine="311"/>
              <w:jc w:val="both"/>
              <w:rPr>
                <w:rFonts w:ascii="Times New Roman" w:hAnsi="Times New Roman"/>
                <w:highlight w:val="white"/>
                <w14:ligatures w14:val="none"/>
              </w:rPr>
            </w:pPr>
            <w:r>
              <w:rPr>
                <w:sz w:val="24"/>
                <w:szCs w:val="24"/>
                <w:highlight w:val="white"/>
              </w:rPr>
              <w:t xml:space="preserve">Определить расположение границ земельного участка на местности и расположение сооружений и строений относительно установленных границ, в отсутствие высокоточных приборов, не представляется возможным. Иные объекты капитального/некапитального строительства отсутствуют. Доступ (подход/ подъезд) </w:t>
              <w:br/>
              <w:t>к земельному участку не ограничен. Вблизи земельного участка установлен бетонный электрический столб (опора ЛЭП), происходит провисание электрических проводов.</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highlight w:val="white"/>
              </w:rPr>
              <w:t xml:space="preserve">Согласно сведениям, предоставленным отделением надзорной деятельности и профилактической работы </w:t>
              <w:br/>
              <w:t xml:space="preserve">г. Перми по Орджоникидзевскому району 1 ОНПР </w:t>
              <w:br/>
              <w:t xml:space="preserve">по городу Перми УНПР Главного управления МЧС России по Пермскому краю, близлежащие пожарные гидранты относительно вышеуказанного земельного участка расположены по адресам: Пермский край, </w:t>
              <w:br/>
              <w:t>г. Пермь, Орджоникидзевский район, ул. Трясолобова, 40в, 42, 52б.</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sz w:val="24"/>
                <w:szCs w:val="24"/>
                <w:highlight w:val="white"/>
                <w14:ligatures w14:val="none"/>
              </w:rPr>
              <w:t>администрации Орджоникидзевского района города Перми</w:t>
            </w:r>
            <w:r>
              <w:rPr>
                <w:sz w:val="24"/>
                <w:szCs w:val="24"/>
                <w:highlight w:val="white"/>
                <w14:ligatures w14:val="none"/>
              </w:rPr>
              <w:t xml:space="preserve"> от 14.07.2025 № 059-37-01-32/3-3483, в акте обследования от 11.07.2025 № 73</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0" w:after="0"/>
              <w:ind w:firstLine="283" w:left="0" w:right="0"/>
              <w:jc w:val="both"/>
              <w:rPr>
                <w:rFonts w:ascii="Times New Roman" w:hAnsi="Times New Roman" w:eastAsia="Times New Roman" w:cs="Times New Roman"/>
                <w:color w:themeColor="text1" w:val="000000"/>
                <w:sz w:val="24"/>
                <w:szCs w:val="24"/>
                <w:highlight w:val="none"/>
                <w14:ligatures w14:val="none"/>
              </w:rPr>
            </w:pPr>
            <w:r>
              <w:rPr>
                <w:sz w:val="24"/>
                <w:szCs w:val="24"/>
                <w:highlight w:val="white"/>
              </w:rPr>
              <w:t>В соответствии со сведениями из ЕГРН</w:t>
            </w:r>
            <w:r>
              <w:rPr>
                <w:sz w:val="24"/>
                <w:szCs w:val="24"/>
              </w:rPr>
              <w:t xml:space="preserve"> </w:t>
            </w:r>
            <w:r>
              <w:rPr>
                <w:rFonts w:eastAsia="Times New Roman" w:cs="Times New Roman"/>
                <w:color w:themeColor="text1" w:val="000000"/>
                <w:sz w:val="24"/>
                <w:szCs w:val="24"/>
              </w:rPr>
              <w:t>в границах Участка расположен объект капитального строительства с кадастровым номером 59:00:0000000:7847 – Иное сооружение (Электросетевой комплекс «Подстанция 35/6кВ «Заозерье» с линиями электропередачи и трансформаторными подстанциями).</w:t>
            </w:r>
          </w:p>
          <w:p>
            <w:pPr>
              <w:pStyle w:val="Normal"/>
              <w:spacing w:lineRule="auto" w:line="240" w:before="0" w:after="0"/>
              <w:ind w:firstLine="283" w:left="0" w:right="0"/>
              <w:jc w:val="both"/>
              <w:rPr>
                <w:rFonts w:ascii="Times New Roman" w:hAnsi="Times New Roman" w:eastAsia="Times New Roman" w:cs="Times New Roman"/>
                <w:color w:themeColor="text1" w:val="000000"/>
                <w:sz w:val="24"/>
                <w:szCs w:val="24"/>
                <w:highlight w:val="none"/>
                <w14:ligatures w14:val="none"/>
              </w:rPr>
            </w:pPr>
            <w:r>
              <w:rPr>
                <w:sz w:val="24"/>
                <w:szCs w:val="24"/>
              </w:rPr>
              <w:t xml:space="preserve">Согласно пункту 8 статьи 39.11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br/>
              <w:t>со статьей 39.36 Кодекса.</w:t>
            </w:r>
          </w:p>
          <w:p>
            <w:pPr>
              <w:pStyle w:val="Normal"/>
              <w:spacing w:lineRule="auto" w:line="240" w:before="0" w:after="0"/>
              <w:ind w:firstLine="317"/>
              <w:jc w:val="both"/>
              <w:rPr>
                <w:rFonts w:ascii="Times New Roman" w:hAnsi="Times New Roman"/>
                <w:sz w:val="24"/>
                <w:szCs w:val="24"/>
                <w:highlight w:val="none"/>
              </w:rPr>
            </w:pPr>
            <w:r>
              <w:rPr>
                <w:sz w:val="24"/>
              </w:rPr>
              <w:t>Учитывая, что указанные линейные объекты могут размещаться на основании сервитута, публичного сервитута, в соответствии со статьей 39.36 Кодекса, наличие таких объектов на земельном участке не является основанием для отказа в предоставлении земельного участка на торгах.</w:t>
            </w:r>
          </w:p>
          <w:p>
            <w:pPr>
              <w:pStyle w:val="Normal"/>
              <w:spacing w:lineRule="auto" w:line="240" w:before="0" w:after="0"/>
              <w:ind w:firstLine="317"/>
              <w:jc w:val="both"/>
              <w:rPr>
                <w:rFonts w:ascii="Times New Roman" w:hAnsi="Times New Roman"/>
                <w:sz w:val="24"/>
                <w:szCs w:val="24"/>
                <w:highlight w:val="none"/>
              </w:rPr>
            </w:pPr>
            <w:r>
              <w:rPr>
                <w:sz w:val="24"/>
                <w:szCs w:val="24"/>
              </w:rPr>
            </w:r>
          </w:p>
          <w:p>
            <w:pPr>
              <w:pStyle w:val="Normal"/>
              <w:spacing w:lineRule="auto" w:line="240" w:before="0" w:after="0"/>
              <w:ind w:firstLine="283" w:left="0" w:right="0"/>
              <w:jc w:val="both"/>
              <w:rPr>
                <w:rFonts w:ascii="Times New Roman" w:hAnsi="Times New Roman"/>
                <w:sz w:val="24"/>
                <w:szCs w:val="24"/>
                <w:highlight w:val="white"/>
                <w14:ligatures w14:val="none"/>
              </w:rPr>
            </w:pPr>
            <w:r>
              <w:rPr>
                <w:rFonts w:eastAsia="Times New Roman" w:cs="Times New Roman"/>
                <w:color w:themeColor="text1" w:val="000000"/>
                <w:sz w:val="24"/>
                <w:szCs w:val="24"/>
                <w:highlight w:val="white"/>
              </w:rPr>
              <w:t>В соответствии с геоде</w:t>
            </w:r>
            <w:r>
              <w:rPr>
                <w:spacing w:val="0"/>
                <w:sz w:val="24"/>
                <w:szCs w:val="24"/>
                <w:highlight w:val="white"/>
              </w:rPr>
              <w:t>зической съемкой, выполненной в 2025 году,</w:t>
            </w:r>
            <w:r>
              <w:rPr>
                <w:sz w:val="24"/>
                <w:szCs w:val="24"/>
                <w:highlight w:val="white"/>
              </w:rPr>
              <w:t xml:space="preserve"> на Участке расположены грунтовая дорога, некапитальный объект, с южной стороны по смежной границе с соседним участком установлен забор.</w:t>
            </w:r>
          </w:p>
          <w:p>
            <w:pPr>
              <w:pStyle w:val="Normal"/>
              <w:spacing w:lineRule="auto" w:line="240" w:before="0" w:after="0"/>
              <w:ind w:firstLine="317"/>
              <w:jc w:val="both"/>
              <w:rPr>
                <w:rFonts w:ascii="Times New Roman" w:hAnsi="Times New Roman"/>
                <w:szCs w:val="24"/>
                <w14:ligatures w14:val="none"/>
              </w:rPr>
            </w:pPr>
            <w:r>
              <w:rPr>
                <w:szCs w:val="24"/>
                <w14:ligatures w14:val="none"/>
              </w:rPr>
            </w:r>
          </w:p>
          <w:p>
            <w:pPr>
              <w:pStyle w:val="Normal"/>
              <w:spacing w:lineRule="auto" w:line="240" w:before="0" w:after="0"/>
              <w:ind w:firstLine="311"/>
              <w:jc w:val="both"/>
              <w:rPr>
                <w:rFonts w:ascii="Times New Roman" w:hAnsi="Times New Roman"/>
                <w:sz w:val="24"/>
                <w:szCs w:val="24"/>
                <w:highlight w:val="white"/>
              </w:rPr>
            </w:pPr>
            <w:r>
              <w:rPr>
                <w14:ligatures w14:val="none"/>
              </w:rPr>
              <w:t xml:space="preserve">Согласно сведениям, содержащимся в ГПЗУ, ЕГРН </w:t>
              <w:br/>
              <w:t xml:space="preserve">и справке по градостроительным условиям от 21.10.2025 № 651127, Участок не расположен в границах зон </w:t>
              <w:br/>
              <w:t>с особыми условиями использования территории.</w:t>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На Участке произрастает 25 деревьев – береза 5 шт., дуб 6 шт., клен ясенелистный 1 шт., осина 13 шт. 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color w:themeColor="text1" w:val="000000"/>
                <w:highlight w:val="white"/>
              </w:rPr>
            </w:pPr>
            <w:r>
              <w:rPr>
                <w:rFonts w:eastAsia="Times New Roman" w:cs="Times New Roman"/>
                <w:color w:themeColor="text1" w:val="000000"/>
                <w:sz w:val="24"/>
                <w:highlight w:val="white"/>
              </w:rPr>
              <w:t>Победителю аукциона необходимо соблюдать условия строительства, перечисленные в перечне мероприятий по охране окружающей среды от 21.07.2025 № 221.</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sz w:val="24"/>
                <w:szCs w:val="24"/>
                <w:highlight w:val="white"/>
                <w14:ligatures w14:val="none"/>
              </w:rPr>
              <w:t>управления по экологии и природопользованию администрации города Перми</w:t>
            </w:r>
            <w:r>
              <w:rPr>
                <w:sz w:val="24"/>
                <w:szCs w:val="24"/>
                <w:highlight w:val="white"/>
                <w14:ligatures w14:val="none"/>
              </w:rPr>
              <w:t xml:space="preserve"> от 21.07.2025 № 059-33-01-10/3-464</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0" w:after="0"/>
              <w:ind w:hanging="0" w:left="0" w:right="0"/>
              <w:jc w:val="both"/>
              <w:rPr>
                <w:highlight w:val="white"/>
              </w:rPr>
            </w:pPr>
            <w:r>
              <w:rPr>
                <w:sz w:val="24"/>
                <w:szCs w:val="24"/>
                <w:highlight w:val="white"/>
              </w:rPr>
              <w:t xml:space="preserve"> </w:t>
            </w:r>
            <w:r>
              <w:rPr>
                <w:sz w:val="24"/>
                <w:szCs w:val="24"/>
                <w:highlight w:val="white"/>
              </w:rPr>
              <w:t xml:space="preserve">Муниципальной программой «Дорожная деятельность </w:t>
              <w:br/>
              <w:t xml:space="preserve">и благоустройство города Перми», утвержденной постановлением администрации города Перми </w:t>
              <w:br/>
              <w:t>от 18.10.2024 N 966,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Для примыкания Участка к улично-дорожной сети города Перми н</w:t>
            </w:r>
            <w:r>
              <w:rPr>
                <w:rFonts w:eastAsia="Times New Roman" w:cs="Times New Roman"/>
                <w:color w:themeColor="text1" w:val="000000"/>
                <w:sz w:val="24"/>
                <w:highlight w:val="white"/>
              </w:rPr>
              <w:t>еобходимо выполнить условия, указанные в письме (прилагается).</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w:t>
              <w:br/>
              <w:t>на земельных участках, предоставленных на торгах.</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В соответствии с Федеральным законом от 08.11.2007 № 257 </w:t>
            </w:r>
            <w:r>
              <w:rPr>
                <w:rFonts w:eastAsia="Times New Roman" w:cs="Times New Roman"/>
                <w:color w:val="000000"/>
                <w:sz w:val="24"/>
                <w:szCs w:val="24"/>
                <w:highlight w:val="white"/>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imes New Roman" w:cs="Times New Roman"/>
                <w:color w:val="000000"/>
                <w:sz w:val="24"/>
                <w:highlight w:val="white"/>
              </w:rPr>
              <w:t xml:space="preserve">, расходы на строительства, реконструкцию, капитальный ремонт, ремонт пересечений и примыканий, в том числе расходы </w:t>
              <w:br/>
              <w:t xml:space="preserve">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в интересах которых осуществляется строительство, реконструкция, капитальный ремонт, ремонт пересечений или примыканий.</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color w:themeColor="text1" w:val="000000"/>
                <w:sz w:val="24"/>
                <w:szCs w:val="24"/>
                <w:highlight w:val="white"/>
              </w:rPr>
              <w:t xml:space="preserve">департамента дорог и </w:t>
            </w:r>
            <w:r>
              <w:rPr>
                <w:b/>
                <w:sz w:val="24"/>
                <w:szCs w:val="24"/>
                <w:highlight w:val="white"/>
                <w14:ligatures w14:val="none"/>
              </w:rPr>
              <w:t>благоустройства администрации города Перми</w:t>
            </w:r>
            <w:r>
              <w:rPr>
                <w:sz w:val="24"/>
                <w:szCs w:val="24"/>
                <w:highlight w:val="white"/>
                <w14:ligatures w14:val="none"/>
              </w:rPr>
              <w:t xml:space="preserve"> от 03.07.2025 № 059-24-01-36/3-2323</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Autospacing="0" w:before="0" w:afterAutospacing="0" w:after="0"/>
              <w:ind w:firstLine="340"/>
              <w:jc w:val="both"/>
              <w:rPr/>
            </w:pPr>
            <w:r>
              <w:rPr>
                <w:sz w:val="24"/>
                <w:szCs w:val="24"/>
                <w:highlight w:val="white"/>
                <w14:ligatures w14:val="none"/>
              </w:rPr>
              <w:t>Источники противопожарного водоснабжения (пожарный водоем)</w:t>
            </w:r>
            <w:r>
              <w:rPr>
                <w:sz w:val="24"/>
                <w:szCs w:val="24"/>
                <w14:ligatures w14:val="none"/>
              </w:rPr>
              <w:t xml:space="preserve"> </w:t>
            </w:r>
            <w:r>
              <w:rPr>
                <w:sz w:val="24"/>
                <w:szCs w:val="24"/>
                <w:highlight w:val="white"/>
                <w14:ligatures w14:val="none"/>
              </w:rPr>
              <w:t>расположен в радиусе 180 метров по адресу: ул.2-я Затонская/2-я Катерная.</w:t>
            </w:r>
          </w:p>
          <w:p>
            <w:pPr>
              <w:pStyle w:val="Normal"/>
              <w:spacing w:lineRule="auto" w:line="240" w:beforeAutospacing="0" w:before="0" w:afterAutospacing="0" w:after="0"/>
              <w:ind w:firstLine="340"/>
              <w:jc w:val="both"/>
              <w:rPr/>
            </w:pPr>
            <w:r>
              <w:rPr>
                <w:sz w:val="24"/>
                <w:szCs w:val="24"/>
                <w:highlight w:val="white"/>
                <w14:ligatures w14:val="none"/>
              </w:rPr>
              <w:t>Ближайшее подразделение пожарной охраны расположено по адресу:</w:t>
            </w:r>
            <w:r>
              <w:rPr>
                <w:sz w:val="24"/>
                <w:szCs w:val="24"/>
                <w14:ligatures w14:val="none"/>
              </w:rPr>
              <w:t xml:space="preserve"> </w:t>
            </w:r>
            <w:r>
              <w:rPr>
                <w:sz w:val="24"/>
                <w:szCs w:val="24"/>
                <w:highlight w:val="white"/>
                <w14:ligatures w14:val="none"/>
              </w:rPr>
              <w:t>ул. Васнецова, 4 (ПСЧ-7 10-ПСО).</w:t>
            </w:r>
          </w:p>
          <w:p>
            <w:pPr>
              <w:pStyle w:val="Normal"/>
              <w:spacing w:lineRule="auto" w:line="240" w:beforeAutospacing="0" w:before="0" w:afterAutospacing="0" w:after="0"/>
              <w:ind w:firstLine="340"/>
              <w:jc w:val="both"/>
              <w:rPr/>
            </w:pPr>
            <w:r>
              <w:rPr>
                <w:sz w:val="24"/>
                <w:szCs w:val="24"/>
                <w:highlight w:val="white"/>
                <w14:ligatures w14:val="none"/>
              </w:rPr>
              <w:t xml:space="preserve">Информация о подразделениях пожарной охраны </w:t>
              <w:br/>
              <w:t>и времени их прибытия</w:t>
            </w:r>
            <w:r>
              <w:rPr>
                <w:sz w:val="24"/>
                <w:szCs w:val="24"/>
                <w14:ligatures w14:val="none"/>
              </w:rPr>
              <w:t xml:space="preserve"> </w:t>
            </w:r>
            <w:r>
              <w:rPr>
                <w:sz w:val="24"/>
                <w:szCs w:val="24"/>
                <w:highlight w:val="white"/>
                <w14:ligatures w14:val="none"/>
              </w:rPr>
              <w:t>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w:t>
            </w:r>
            <w:r>
              <w:rPr>
                <w:sz w:val="24"/>
                <w:szCs w:val="24"/>
                <w14:ligatures w14:val="none"/>
              </w:rPr>
              <w:t xml:space="preserve"> </w:t>
            </w:r>
            <w:r>
              <w:rPr>
                <w:sz w:val="24"/>
                <w:szCs w:val="24"/>
                <w:highlight w:val="white"/>
                <w14:ligatures w14:val="none"/>
              </w:rPr>
              <w:t>муниципального района», утвержденном Главой города Перми 26.04.2024.</w:t>
            </w:r>
          </w:p>
          <w:p>
            <w:pPr>
              <w:pStyle w:val="Normal"/>
              <w:spacing w:lineRule="auto" w:line="240" w:beforeAutospacing="0" w:before="0" w:afterAutospacing="0" w:after="0"/>
              <w:ind w:firstLine="340"/>
              <w:jc w:val="both"/>
              <w:rPr/>
            </w:pPr>
            <w:r>
              <w:rPr>
                <w:sz w:val="24"/>
                <w:szCs w:val="24"/>
                <w:highlight w:val="white"/>
                <w14:ligatures w14:val="none"/>
              </w:rPr>
              <w:t>Помещения для аварийно-спасательных служб и (или) аварийно-спасательных</w:t>
            </w:r>
            <w:r>
              <w:rPr>
                <w:sz w:val="24"/>
                <w:szCs w:val="24"/>
                <w14:ligatures w14:val="none"/>
              </w:rPr>
              <w:t xml:space="preserve"> </w:t>
            </w:r>
            <w:r>
              <w:rPr>
                <w:sz w:val="24"/>
                <w:szCs w:val="24"/>
                <w:highlight w:val="white"/>
                <w14:ligatures w14:val="none"/>
              </w:rPr>
              <w:t>формирований на указанной территории отсутствуют.</w:t>
            </w:r>
          </w:p>
          <w:p>
            <w:pPr>
              <w:pStyle w:val="Normal"/>
              <w:spacing w:lineRule="auto" w:line="240" w:beforeAutospacing="0" w:before="0" w:afterAutospacing="0" w:after="0"/>
              <w:ind w:firstLine="340"/>
              <w:jc w:val="both"/>
              <w:rPr/>
            </w:pPr>
            <w:r>
              <w:rPr>
                <w:sz w:val="24"/>
                <w:szCs w:val="24"/>
                <w:highlight w:val="white"/>
                <w14:ligatures w14:val="none"/>
              </w:rPr>
              <w:t>Объекты общественной безопасности, отнесенные к объектам полиции</w:t>
            </w:r>
            <w:r>
              <w:rPr>
                <w:sz w:val="24"/>
                <w:szCs w:val="24"/>
                <w14:ligatures w14:val="none"/>
              </w:rPr>
              <w:t xml:space="preserve"> </w:t>
            </w:r>
            <w:r>
              <w:rPr>
                <w:sz w:val="24"/>
                <w:szCs w:val="24"/>
                <w:highlight w:val="white"/>
                <w14:ligatures w14:val="none"/>
              </w:rPr>
              <w:t>(участковые пункты полиции) в данном микрорайоне расположены по адресу:</w:t>
            </w:r>
            <w:r>
              <w:rPr>
                <w:sz w:val="24"/>
                <w:szCs w:val="24"/>
                <w14:ligatures w14:val="none"/>
              </w:rPr>
              <w:t xml:space="preserve"> </w:t>
            </w:r>
            <w:r>
              <w:rPr>
                <w:sz w:val="24"/>
                <w:szCs w:val="24"/>
                <w:highlight w:val="white"/>
                <w14:ligatures w14:val="none"/>
              </w:rPr>
              <w:t>г. Пермь, ул. Трясолобова д. 98 (м-н Заозерье, Орджоникидзевский район).</w:t>
            </w:r>
          </w:p>
          <w:p>
            <w:pPr>
              <w:pStyle w:val="Normal"/>
              <w:spacing w:lineRule="auto" w:line="240" w:beforeAutospacing="0" w:before="0" w:afterAutospacing="0" w:after="0"/>
              <w:ind w:firstLine="340"/>
              <w:jc w:val="both"/>
              <w:rPr/>
            </w:pPr>
            <w:r>
              <w:rPr>
                <w:sz w:val="24"/>
                <w:szCs w:val="24"/>
                <w:highlight w:val="white"/>
                <w14:ligatures w14:val="none"/>
              </w:rPr>
              <w:t>В настоящее время в указанном микрорайоне строительство (приобретение)</w:t>
            </w:r>
            <w:r>
              <w:rPr>
                <w:sz w:val="24"/>
                <w:szCs w:val="24"/>
                <w14:ligatures w14:val="none"/>
              </w:rPr>
              <w:t xml:space="preserve"> </w:t>
            </w:r>
            <w:r>
              <w:rPr>
                <w:sz w:val="24"/>
                <w:szCs w:val="24"/>
                <w:highlight w:val="white"/>
                <w14:ligatures w14:val="none"/>
              </w:rPr>
              <w:t>участковых пунктов полиции не планируется.</w:t>
            </w:r>
          </w:p>
          <w:p>
            <w:pPr>
              <w:pStyle w:val="Normal"/>
              <w:spacing w:lineRule="auto" w:line="240" w:beforeAutospacing="0" w:before="0" w:afterAutospacing="0" w:after="0"/>
              <w:ind w:firstLine="340"/>
              <w:jc w:val="both"/>
              <w:rPr/>
            </w:pPr>
            <w:r>
              <w:rPr>
                <w:sz w:val="24"/>
                <w:szCs w:val="24"/>
                <w:highlight w:val="white"/>
                <w14:ligatures w14:val="none"/>
              </w:rPr>
              <w:t>Данная территория находится в зоне действия региональной системы</w:t>
            </w:r>
            <w:r>
              <w:rPr>
                <w:sz w:val="24"/>
                <w:szCs w:val="24"/>
                <w14:ligatures w14:val="none"/>
              </w:rPr>
              <w:t xml:space="preserve"> </w:t>
            </w:r>
            <w:r>
              <w:rPr>
                <w:sz w:val="24"/>
                <w:szCs w:val="24"/>
                <w:highlight w:val="white"/>
                <w14:ligatures w14:val="none"/>
              </w:rPr>
              <w:t>оповещения</w:t>
            </w:r>
            <w:r>
              <w:rPr>
                <w:sz w:val="24"/>
                <w:szCs w:val="24"/>
                <w14:ligatures w14:val="none"/>
              </w:rPr>
              <w:t xml:space="preserve"> </w:t>
            </w:r>
            <w:r>
              <w:rPr>
                <w:sz w:val="24"/>
                <w:szCs w:val="24"/>
                <w:highlight w:val="white"/>
                <w14:ligatures w14:val="none"/>
              </w:rPr>
              <w:t>населения</w:t>
            </w:r>
            <w:r>
              <w:rPr>
                <w:sz w:val="24"/>
                <w:szCs w:val="24"/>
                <w14:ligatures w14:val="none"/>
              </w:rPr>
              <w:t xml:space="preserve"> </w:t>
            </w:r>
            <w:r>
              <w:rPr>
                <w:sz w:val="24"/>
                <w:szCs w:val="24"/>
                <w:highlight w:val="white"/>
                <w14:ligatures w14:val="none"/>
              </w:rPr>
              <w:t>города</w:t>
            </w:r>
            <w:r>
              <w:rPr>
                <w:sz w:val="24"/>
                <w:szCs w:val="24"/>
                <w14:ligatures w14:val="none"/>
              </w:rPr>
              <w:t xml:space="preserve"> </w:t>
            </w:r>
            <w:r>
              <w:rPr>
                <w:sz w:val="24"/>
                <w:szCs w:val="24"/>
                <w:highlight w:val="white"/>
                <w14:ligatures w14:val="none"/>
              </w:rPr>
              <w:t>Перми,</w:t>
            </w:r>
            <w:r>
              <w:rPr>
                <w:sz w:val="24"/>
                <w:szCs w:val="24"/>
                <w14:ligatures w14:val="none"/>
              </w:rPr>
              <w:t xml:space="preserve"> </w:t>
            </w:r>
            <w:r>
              <w:rPr>
                <w:sz w:val="24"/>
                <w:szCs w:val="24"/>
                <w:highlight w:val="white"/>
                <w14:ligatures w14:val="none"/>
              </w:rPr>
              <w:t>установленной</w:t>
            </w:r>
            <w:r>
              <w:rPr>
                <w:sz w:val="24"/>
                <w:szCs w:val="24"/>
                <w14:ligatures w14:val="none"/>
              </w:rPr>
              <w:t xml:space="preserve"> </w:t>
            </w:r>
            <w:r>
              <w:rPr>
                <w:sz w:val="24"/>
                <w:szCs w:val="24"/>
                <w:highlight w:val="white"/>
                <w14:ligatures w14:val="none"/>
              </w:rPr>
              <w:t>по</w:t>
            </w:r>
            <w:r>
              <w:rPr>
                <w:sz w:val="24"/>
                <w:szCs w:val="24"/>
                <w14:ligatures w14:val="none"/>
              </w:rPr>
              <w:t xml:space="preserve"> </w:t>
            </w:r>
            <w:r>
              <w:rPr>
                <w:sz w:val="24"/>
                <w:szCs w:val="24"/>
                <w:highlight w:val="white"/>
                <w14:ligatures w14:val="none"/>
              </w:rPr>
              <w:t>адресу:</w:t>
            </w:r>
            <w:r>
              <w:rPr>
                <w:sz w:val="24"/>
                <w:szCs w:val="24"/>
                <w14:ligatures w14:val="none"/>
              </w:rPr>
              <w:t xml:space="preserve"> </w:t>
            </w:r>
            <w:r>
              <w:rPr>
                <w:sz w:val="24"/>
                <w:szCs w:val="24"/>
                <w:highlight w:val="white"/>
                <w14:ligatures w14:val="none"/>
              </w:rPr>
              <w:t>ул. Радистов, д. 13– 1500 метров.</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sz w:val="24"/>
                <w:szCs w:val="24"/>
                <w:highlight w:val="white"/>
                <w14:ligatures w14:val="none"/>
              </w:rPr>
              <w:t>департамента общественной безопасности администрации города Перми</w:t>
            </w:r>
            <w:r>
              <w:rPr>
                <w:sz w:val="24"/>
                <w:szCs w:val="24"/>
                <w:highlight w:val="white"/>
                <w14:ligatures w14:val="none"/>
              </w:rPr>
              <w:t xml:space="preserve"> от 04.07.2025 № 059-10-01-27/3-1456</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9"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lang w:val="en-US"/>
              </w:rPr>
              <w:t xml:space="preserve">Проектирование и строительство необходимо вести </w:t>
              <w:br/>
              <w:t xml:space="preserve">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w:t>
            </w:r>
            <w:r>
              <w:rPr>
                <w:sz w:val="24"/>
                <w:szCs w:val="24"/>
              </w:rPr>
              <w:t>(ред. от 17.05.2023):</w:t>
            </w:r>
            <w:r>
              <w:rPr>
                <w:sz w:val="24"/>
                <w:szCs w:val="24"/>
                <w:lang w:val="en-US"/>
              </w:rPr>
              <w:t xml:space="preserve"> </w:t>
            </w:r>
            <w:r>
              <w:rPr>
                <w:sz w:val="24"/>
                <w:szCs w:val="24"/>
              </w:rPr>
              <w:t>д</w:t>
            </w:r>
            <w:r>
              <w:rPr>
                <w:sz w:val="24"/>
                <w:szCs w:val="24"/>
                <w:lang w:val="en-US"/>
              </w:rPr>
              <w:t>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sz w:val="24"/>
                <w:szCs w:val="24"/>
              </w:rPr>
              <w:t>, переднюю.</w:t>
            </w:r>
          </w:p>
          <w:p>
            <w:pPr>
              <w:pStyle w:val="Normal"/>
              <w:spacing w:lineRule="auto" w:line="240" w:before="0" w:after="0"/>
              <w:ind w:firstLine="311"/>
              <w:jc w:val="both"/>
              <w:rPr>
                <w:rFonts w:ascii="Times New Roman" w:hAnsi="Times New Roman"/>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общей комнаты в доме с числом комнат две 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xml:space="preserve">; кухонной зоны </w:t>
              <w:br/>
              <w:t>в кухне-столовой - 6 м</w:t>
            </w:r>
            <w:r>
              <w:rPr>
                <w:sz w:val="24"/>
                <w:szCs w:val="24"/>
                <w:vertAlign w:val="superscript"/>
                <w:lang w:val="en-US"/>
              </w:rPr>
              <w:t>2</w:t>
            </w:r>
            <w:r>
              <w:rPr>
                <w:sz w:val="24"/>
                <w:szCs w:val="24"/>
                <w:lang w:val="en-US"/>
              </w:rPr>
              <w:t>. 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 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spacing w:lineRule="auto" w:line="240" w:before="0" w:after="0"/>
              <w:ind w:firstLine="311"/>
              <w:jc w:val="both"/>
              <w:rPr>
                <w:rFonts w:ascii="Times New Roman" w:hAnsi="Times New Roman"/>
                <w:sz w:val="24"/>
                <w:szCs w:val="24"/>
                <w:lang w:val="en-US"/>
              </w:rPr>
            </w:pPr>
            <w:r>
              <w:rPr>
                <w:sz w:val="24"/>
                <w:szCs w:val="24"/>
                <w:lang w:val="en-US"/>
              </w:rPr>
              <w:t xml:space="preserve">Согласно пункту 6.2 СП 55.13330.2016 высота </w:t>
              <w:br/>
              <w:t xml:space="preserve">(от пола 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spacing w:val="-2"/>
                <w:sz w:val="24"/>
                <w:szCs w:val="24"/>
                <w:lang w:val="en-US"/>
              </w:rPr>
              <w:t>антресолей должна составлять не менее 2,1 м, а высота пути эвакуации -</w:t>
            </w:r>
            <w:r>
              <w:rPr>
                <w:sz w:val="24"/>
                <w:szCs w:val="24"/>
                <w:lang w:val="en-US"/>
              </w:rPr>
              <w:t xml:space="preserve"> не менее 2,2 м.</w:t>
            </w:r>
          </w:p>
          <w:p>
            <w:pPr>
              <w:pStyle w:val="Normal"/>
              <w:spacing w:lineRule="auto" w:line="240" w:before="0" w:after="0"/>
              <w:ind w:firstLine="311"/>
              <w:jc w:val="both"/>
              <w:rPr>
                <w:rFonts w:ascii="Times New Roman" w:hAnsi="Times New Roman"/>
                <w:sz w:val="24"/>
                <w:szCs w:val="24"/>
              </w:rPr>
            </w:pPr>
            <w:r>
              <w:rPr>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spacing w:lineRule="auto" w:line="240" w:before="0" w:after="0"/>
              <w:ind w:firstLine="311"/>
              <w:jc w:val="both"/>
              <w:rPr>
                <w:rFonts w:ascii="Times New Roman" w:hAnsi="Times New Roman"/>
                <w:sz w:val="24"/>
                <w:szCs w:val="24"/>
              </w:rPr>
            </w:pPr>
            <w:r>
              <w:rPr>
                <w:sz w:val="24"/>
                <w:szCs w:val="24"/>
              </w:rPr>
              <w:t xml:space="preserve">Согласно информации, содержащейся </w:t>
              <w:br/>
              <w:t xml:space="preserve">в градостроительном плане земельного участка </w:t>
              <w:br/>
              <w:t>от 11.07.2025 № РФ-59-2-03-0-00-2025-1606-0 (далее – ГПЗУ), предельная высота зданий, строений не более 10,5 м (документация по планировке территории, утвержденная постановлением администрации города Перми от 23.12.2015 № 1102).</w:t>
            </w:r>
          </w:p>
          <w:p>
            <w:pPr>
              <w:pStyle w:val="Normal"/>
              <w:spacing w:lineRule="auto" w:line="240" w:before="0" w:after="0"/>
              <w:ind w:firstLine="311"/>
              <w:jc w:val="both"/>
              <w:rPr>
                <w:rFonts w:ascii="Times New Roman" w:hAnsi="Times New Roman"/>
                <w:sz w:val="24"/>
                <w:szCs w:val="24"/>
              </w:rPr>
            </w:pPr>
            <w:r>
              <w:rPr>
                <w:sz w:val="24"/>
                <w:szCs w:val="24"/>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spacing w:lineRule="auto" w:line="240" w:before="0" w:after="0"/>
              <w:ind w:firstLine="311"/>
              <w:jc w:val="both"/>
              <w:rPr>
                <w:rFonts w:ascii="Times New Roman" w:hAnsi="Times New Roman"/>
                <w:sz w:val="24"/>
                <w:szCs w:val="24"/>
              </w:rPr>
            </w:pPr>
            <w:r>
              <w:rPr>
                <w:sz w:val="24"/>
                <w:szCs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sz w:val="24"/>
                <w:szCs w:val="24"/>
              </w:rPr>
            </w:pPr>
            <w:r>
              <w:rPr>
                <w:sz w:val="24"/>
                <w:szCs w:val="24"/>
              </w:rPr>
              <w:t>Максимальный процент застройки в границах Участка – 30%.</w:t>
            </w:r>
          </w:p>
          <w:p>
            <w:pPr>
              <w:pStyle w:val="Normal"/>
              <w:spacing w:lineRule="auto" w:line="240" w:before="0" w:after="0"/>
              <w:ind w:firstLine="311"/>
              <w:jc w:val="both"/>
              <w:rPr>
                <w:rFonts w:ascii="Times New Roman" w:hAnsi="Times New Roman"/>
                <w:sz w:val="24"/>
              </w:rPr>
            </w:pPr>
            <w:r>
              <w:rPr>
                <w:rFonts w:eastAsia="Droid Sans Fallback" w:cs="Lohit Devanagari"/>
                <w:color w:val="000000"/>
                <w:kern w:val="0"/>
                <w:sz w:val="24"/>
                <w:szCs w:val="24"/>
                <w:highlight w:val="white"/>
                <w:shd w:fill="FFFFFF" w:val="clear"/>
                <w:lang w:val="ru-RU" w:eastAsia="zh-CN" w:bidi="ar-SA"/>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0"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highlight w:val="white"/>
              </w:rPr>
            </w:pPr>
            <w:r>
              <w:rPr>
                <w:sz w:val="24"/>
                <w:highlight w:val="white"/>
              </w:rPr>
              <w:t>О возможности подключения (технологического присоединения) к сетям электроснабжения объекта капитального строительства присоединяемой мощностью 15 кВт сообщается следующее.</w:t>
            </w:r>
          </w:p>
          <w:p>
            <w:pPr>
              <w:pStyle w:val="Normal"/>
              <w:spacing w:lineRule="auto" w:line="240" w:before="0" w:after="0"/>
              <w:ind w:firstLine="311"/>
              <w:jc w:val="both"/>
              <w:rPr>
                <w:rFonts w:ascii="Times New Roman" w:hAnsi="Times New Roman"/>
                <w:sz w:val="24"/>
                <w:szCs w:val="24"/>
                <w:highlight w:val="white"/>
              </w:rPr>
            </w:pPr>
            <w:r>
              <w:rPr>
                <w:sz w:val="24"/>
                <w:highlight w:val="white"/>
              </w:rPr>
              <w:t xml:space="preserve">Порядок технологического присоединения </w:t>
              <w:br/>
              <w:t>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(далее-Правила ТП).</w:t>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Для</w:t>
            </w:r>
            <w:r>
              <w:rPr>
                <w:spacing w:val="-7"/>
                <w:sz w:val="24"/>
                <w:szCs w:val="24"/>
                <w:highlight w:val="white"/>
              </w:rPr>
              <w:t xml:space="preserve"> </w:t>
            </w:r>
            <w:r>
              <w:rPr>
                <w:sz w:val="24"/>
                <w:szCs w:val="24"/>
                <w:highlight w:val="white"/>
              </w:rPr>
              <w:t xml:space="preserve">получения технических условий и заключения договора на технологическое присоединение необходимо направить в адрес филиала </w:t>
            </w:r>
            <w:r>
              <w:rPr>
                <w:color w:val="131313"/>
                <w:sz w:val="24"/>
                <w:szCs w:val="24"/>
                <w:highlight w:val="white"/>
              </w:rPr>
              <w:t xml:space="preserve">ПAO </w:t>
            </w:r>
            <w:r>
              <w:rPr>
                <w:color w:val="1A1A1A"/>
                <w:sz w:val="24"/>
                <w:szCs w:val="24"/>
                <w:highlight w:val="white"/>
              </w:rPr>
              <w:t xml:space="preserve">«Россети </w:t>
            </w:r>
            <w:r>
              <w:rPr>
                <w:sz w:val="24"/>
                <w:szCs w:val="24"/>
                <w:highlight w:val="white"/>
              </w:rPr>
              <w:t xml:space="preserve">Урал» - «Пермэнерго» соответствующую заявку на технологическое присоединение с указанием сведений и приложением необходимых документов </w:t>
              <w:br/>
            </w:r>
            <w:r>
              <w:rPr>
                <w:color w:val="0F0F0F"/>
                <w:sz w:val="24"/>
                <w:szCs w:val="24"/>
                <w:highlight w:val="white"/>
              </w:rPr>
              <w:t xml:space="preserve">в </w:t>
            </w:r>
            <w:r>
              <w:rPr>
                <w:sz w:val="24"/>
                <w:szCs w:val="24"/>
                <w:highlight w:val="white"/>
              </w:rPr>
              <w:t>соответствии с Правилами TП.</w:t>
            </w:r>
          </w:p>
          <w:p>
            <w:pPr>
              <w:pStyle w:val="Normal"/>
              <w:spacing w:lineRule="auto" w:line="240" w:before="0" w:after="0"/>
              <w:ind w:firstLine="311"/>
              <w:jc w:val="both"/>
              <w:rPr>
                <w:rFonts w:ascii="Times New Roman" w:hAnsi="Times New Roman"/>
                <w:sz w:val="24"/>
                <w:highlight w:val="white"/>
              </w:rPr>
            </w:pPr>
            <w:r>
              <w:rPr>
                <w:sz w:val="24"/>
                <w:szCs w:val="24"/>
                <w:highlight w:val="white"/>
              </w:rPr>
              <w:t>Заявку</w:t>
            </w:r>
            <w:r>
              <w:rPr>
                <w:spacing w:val="40"/>
                <w:sz w:val="24"/>
                <w:szCs w:val="24"/>
                <w:highlight w:val="white"/>
              </w:rPr>
              <w:t xml:space="preserve"> </w:t>
            </w:r>
            <w:r>
              <w:rPr>
                <w:sz w:val="24"/>
                <w:szCs w:val="24"/>
                <w:highlight w:val="white"/>
              </w:rPr>
              <w:t>на</w:t>
            </w:r>
            <w:r>
              <w:rPr>
                <w:spacing w:val="40"/>
                <w:sz w:val="24"/>
                <w:szCs w:val="24"/>
                <w:highlight w:val="white"/>
              </w:rPr>
              <w:t xml:space="preserve"> </w:t>
            </w:r>
            <w:r>
              <w:rPr>
                <w:sz w:val="24"/>
                <w:szCs w:val="24"/>
                <w:highlight w:val="white"/>
              </w:rPr>
              <w:t>технологическое</w:t>
            </w:r>
            <w:r>
              <w:rPr>
                <w:spacing w:val="40"/>
                <w:sz w:val="24"/>
                <w:szCs w:val="24"/>
                <w:highlight w:val="white"/>
              </w:rPr>
              <w:t xml:space="preserve"> </w:t>
            </w:r>
            <w:r>
              <w:rPr>
                <w:sz w:val="24"/>
                <w:szCs w:val="24"/>
                <w:highlight w:val="white"/>
              </w:rPr>
              <w:t>присоединение</w:t>
            </w:r>
            <w:r>
              <w:rPr>
                <w:spacing w:val="40"/>
                <w:sz w:val="24"/>
                <w:szCs w:val="24"/>
                <w:highlight w:val="white"/>
              </w:rPr>
              <w:t xml:space="preserve"> </w:t>
            </w:r>
            <w:r>
              <w:rPr>
                <w:sz w:val="24"/>
                <w:szCs w:val="24"/>
                <w:highlight w:val="white"/>
              </w:rPr>
              <w:t>можно</w:t>
            </w:r>
            <w:r>
              <w:rPr>
                <w:spacing w:val="40"/>
                <w:sz w:val="24"/>
                <w:szCs w:val="24"/>
                <w:highlight w:val="white"/>
              </w:rPr>
              <w:t xml:space="preserve"> </w:t>
            </w:r>
            <w:r>
              <w:rPr>
                <w:sz w:val="24"/>
                <w:szCs w:val="24"/>
                <w:highlight w:val="white"/>
              </w:rPr>
              <w:t>подать</w:t>
            </w:r>
            <w:r>
              <w:rPr>
                <w:spacing w:val="40"/>
                <w:sz w:val="24"/>
                <w:szCs w:val="24"/>
                <w:highlight w:val="white"/>
              </w:rPr>
              <w:t xml:space="preserve"> </w:t>
            </w:r>
            <w:r>
              <w:rPr>
                <w:sz w:val="24"/>
                <w:szCs w:val="24"/>
                <w:highlight w:val="white"/>
              </w:rPr>
              <w:t>через единый</w:t>
            </w:r>
            <w:r>
              <w:rPr>
                <w:spacing w:val="65"/>
                <w:sz w:val="24"/>
                <w:szCs w:val="24"/>
                <w:highlight w:val="white"/>
              </w:rPr>
              <w:t xml:space="preserve"> </w:t>
            </w:r>
            <w:r>
              <w:rPr>
                <w:sz w:val="24"/>
                <w:szCs w:val="24"/>
                <w:highlight w:val="white"/>
              </w:rPr>
              <w:t>федеральный</w:t>
            </w:r>
            <w:r>
              <w:rPr>
                <w:spacing w:val="77"/>
                <w:sz w:val="24"/>
                <w:szCs w:val="24"/>
                <w:highlight w:val="white"/>
              </w:rPr>
              <w:t xml:space="preserve"> </w:t>
            </w:r>
            <w:r>
              <w:rPr>
                <w:sz w:val="24"/>
                <w:szCs w:val="24"/>
                <w:highlight w:val="white"/>
              </w:rPr>
              <w:t>портал</w:t>
            </w:r>
            <w:r>
              <w:rPr>
                <w:spacing w:val="67"/>
                <w:sz w:val="24"/>
                <w:szCs w:val="24"/>
                <w:highlight w:val="white"/>
              </w:rPr>
              <w:t xml:space="preserve"> </w:t>
            </w:r>
            <w:r>
              <w:rPr>
                <w:sz w:val="24"/>
                <w:szCs w:val="24"/>
                <w:highlight w:val="white"/>
              </w:rPr>
              <w:t>электросетевых</w:t>
            </w:r>
            <w:r>
              <w:rPr>
                <w:spacing w:val="40"/>
                <w:sz w:val="24"/>
                <w:szCs w:val="24"/>
                <w:highlight w:val="white"/>
              </w:rPr>
              <w:t xml:space="preserve"> </w:t>
            </w:r>
            <w:r>
              <w:rPr>
                <w:sz w:val="24"/>
                <w:szCs w:val="24"/>
                <w:highlight w:val="white"/>
              </w:rPr>
              <w:t>услуг</w:t>
            </w:r>
            <w:r>
              <w:rPr>
                <w:spacing w:val="59"/>
                <w:sz w:val="24"/>
                <w:szCs w:val="24"/>
                <w:highlight w:val="white"/>
              </w:rPr>
              <w:t xml:space="preserve"> </w:t>
            </w:r>
            <w:r>
              <w:rPr>
                <w:sz w:val="24"/>
                <w:szCs w:val="24"/>
                <w:highlight w:val="white"/>
              </w:rPr>
              <w:t>группы компаний «Россети» – ПОРТАЛ-ТП.РФ</w:t>
            </w:r>
            <w:r>
              <w:rPr>
                <w:sz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sz w:val="24"/>
                <w:szCs w:val="24"/>
                <w:highlight w:val="white"/>
                <w14:ligatures w14:val="none"/>
              </w:rPr>
              <w:t xml:space="preserve"> </w:t>
            </w:r>
            <w:r>
              <w:rPr>
                <w:b/>
                <w:sz w:val="24"/>
                <w:szCs w:val="24"/>
                <w:highlight w:val="white"/>
                <w14:ligatures w14:val="none"/>
              </w:rPr>
              <w:t xml:space="preserve">Филиала ПАО «Россети Урал» - «Пермэнерго» </w:t>
            </w:r>
            <w:r>
              <w:rPr>
                <w:sz w:val="24"/>
                <w:szCs w:val="24"/>
                <w:highlight w:val="white"/>
                <w14:ligatures w14:val="none"/>
              </w:rPr>
              <w:t>от 15.07.2025 № ПЭ/ПГЭС/01/22/8572</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szCs w:val="24"/>
                <w:highlight w:val="white"/>
                <w:vertAlign w:val="superscript"/>
              </w:rPr>
              <w:t>3</w:t>
            </w:r>
            <w:r>
              <w:rPr>
                <w:sz w:val="24"/>
                <w:szCs w:val="24"/>
                <w:highlight w:val="white"/>
              </w:rPr>
              <w:t>/час к существующим сетям газораспределения имеется.</w:t>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 xml:space="preserve">Для рассмотрения вопроса о предоставлении технических условий на подключение (технологическое присоединение) необходимо направить заявку с приложением необходимых документов в соответствии с постановлением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 на электронную почту post@pf.ugaz.ru, либо почтовым отправлением по адресу: г. Пермь, </w:t>
              <w:br/>
              <w:t xml:space="preserve">ул. Уральская, 104, через Единый центр предоставления услуг по адресу: г. Пермь, ул. Уральская, д. 104, </w:t>
              <w:br/>
              <w:t>каб. 101.</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sz w:val="24"/>
                <w:szCs w:val="24"/>
                <w:highlight w:val="white"/>
                <w14:ligatures w14:val="none"/>
              </w:rPr>
              <w:t>АО «Газпром газораспределение Пермь»</w:t>
            </w:r>
            <w:r>
              <w:rPr>
                <w:sz w:val="24"/>
                <w:szCs w:val="24"/>
                <w:highlight w:val="white"/>
                <w14:ligatures w14:val="none"/>
              </w:rPr>
              <w:t xml:space="preserve"> от 09.07.2025 № ПФ-4762</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0" w:after="0"/>
              <w:ind w:firstLine="340"/>
              <w:jc w:val="both"/>
              <w:rPr>
                <w:rFonts w:ascii="Times New Roman" w:hAnsi="Times New Roman"/>
                <w:sz w:val="24"/>
                <w:szCs w:val="24"/>
                <w:highlight w:val="white"/>
              </w:rPr>
            </w:pPr>
            <w:r>
              <w:rPr>
                <w:sz w:val="24"/>
                <w:highlight w:val="white"/>
              </w:rPr>
              <w:t>На текущую дату сети водоснабжения микрорайона «Заозерье» эксплуатирует МП «Пермводоканал».</w:t>
            </w:r>
          </w:p>
          <w:p>
            <w:pPr>
              <w:pStyle w:val="Normal"/>
              <w:spacing w:lineRule="auto" w:line="240" w:before="0" w:after="0"/>
              <w:ind w:firstLine="340"/>
              <w:jc w:val="both"/>
              <w:rPr>
                <w:rFonts w:ascii="Times New Roman" w:hAnsi="Times New Roman"/>
                <w:sz w:val="24"/>
                <w:szCs w:val="24"/>
                <w:highlight w:val="white"/>
              </w:rPr>
            </w:pPr>
            <w:r>
              <w:rPr>
                <w:sz w:val="24"/>
                <w:highlight w:val="white"/>
              </w:rPr>
              <w:t>Ближайшей точкой подключения к сетям водоотведения, эксплуатируемой ООО «НОВОГОР-Прикамье», является коллектор Д-400 мм по ул. Портовая.</w:t>
            </w:r>
          </w:p>
          <w:p>
            <w:pPr>
              <w:pStyle w:val="Normal"/>
              <w:spacing w:lineRule="auto" w:line="240" w:before="0" w:after="0"/>
              <w:ind w:firstLine="311"/>
              <w:jc w:val="both"/>
              <w:rPr>
                <w:rFonts w:ascii="Times New Roman" w:hAnsi="Times New Roman"/>
                <w:sz w:val="24"/>
                <w:szCs w:val="24"/>
                <w:highlight w:val="none"/>
              </w:rPr>
            </w:pPr>
            <w:r>
              <w:rPr>
                <w:sz w:val="24"/>
              </w:rPr>
              <w:t xml:space="preserve">В границах Участка отсутствуют сети водопровода </w:t>
              <w:br/>
              <w:t>и канализации, эксплуатируемые ООО «НОВОГОР-Прикамье», при этом, размещение объектов необходимо предусмотреть строго за пределами охранных зон сетей водопровода и канализации в соответствии с нормами СП, в том числе в соответствии с таблицей 12.5 СП 42.13330.2016 «Градостроительство. Планировка и застройка городских и сельских поселений».</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sz w:val="24"/>
                <w:szCs w:val="24"/>
                <w:highlight w:val="white"/>
                <w14:ligatures w14:val="none"/>
              </w:rPr>
              <w:t>ООО «НОВО</w:t>
            </w:r>
            <w:bookmarkStart w:id="0" w:name="undefined_Копия_1"/>
            <w:bookmarkEnd w:id="0"/>
            <w:r>
              <w:rPr>
                <w:b/>
                <w:sz w:val="24"/>
                <w:szCs w:val="24"/>
                <w:highlight w:val="white"/>
                <w14:ligatures w14:val="none"/>
              </w:rPr>
              <w:t xml:space="preserve">ГОР-Прикамье» </w:t>
            </w:r>
            <w:r>
              <w:rPr>
                <w:sz w:val="24"/>
                <w:szCs w:val="24"/>
                <w:highlight w:val="white"/>
                <w14:ligatures w14:val="none"/>
              </w:rPr>
              <w:t>от 24.07.2025 № 110-10846</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Участок расположен вне зоны теплоснабжения ПАО «Т Плюс».</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sz w:val="24"/>
                <w:szCs w:val="24"/>
                <w:highlight w:val="white"/>
                <w14:ligatures w14:val="none"/>
              </w:rPr>
              <w:t>Филиала «Пермский ПАО «Т Плюс»</w:t>
            </w:r>
            <w:r>
              <w:rPr>
                <w:sz w:val="24"/>
                <w:szCs w:val="24"/>
                <w:highlight w:val="white"/>
                <w14:ligatures w14:val="none"/>
              </w:rPr>
              <w:t xml:space="preserve"> от 04.07.2025 № 51000-32-02418 </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Техническая возможность подключения к сетям теплоснабжения отсутствует.</w:t>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В качестве альтернативного энергоресурса рекомендовано рассмотреть газ и обратиться в Пермский филиал АО «Газпром газораспределение Пермь», либо рассмотреть иные альтернативные энергоресурсы (электричество, дрова, пеллеты).</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sz w:val="24"/>
                <w:szCs w:val="24"/>
                <w:highlight w:val="white"/>
                <w14:ligatures w14:val="none"/>
              </w:rPr>
              <w:t xml:space="preserve">департамента жилищно-коммунального хозяйства администрации города Перми </w:t>
            </w:r>
            <w:r>
              <w:rPr>
                <w:sz w:val="24"/>
                <w:szCs w:val="24"/>
                <w:highlight w:val="white"/>
                <w14:ligatures w14:val="none"/>
              </w:rPr>
              <w:t xml:space="preserve"> от 08.07.2025 № 059-04-25/3-122-ри</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0" w:after="0"/>
              <w:ind w:firstLine="311"/>
              <w:jc w:val="both"/>
              <w:rPr>
                <w:rFonts w:ascii="Times New Roman" w:hAnsi="Times New Roman"/>
                <w:color w:val="000000"/>
                <w:sz w:val="24"/>
                <w:szCs w:val="24"/>
                <w:highlight w:val="white"/>
              </w:rPr>
            </w:pPr>
            <w:r>
              <w:rPr>
                <w:color w:val="000000"/>
                <w:sz w:val="24"/>
                <w:szCs w:val="24"/>
                <w:highlight w:val="white"/>
              </w:rPr>
              <w:t>Техническое присоединение планируемых к строительству объектов в границах Участка может быть произведено к узлу ВОЛС (г. Пермь, ул. Трясолобова, д. 96). Максимальную нагрузку в точке подключения (технологического присоединения) определить на стадии проектирования.</w:t>
            </w:r>
          </w:p>
          <w:p>
            <w:pPr>
              <w:pStyle w:val="Normal"/>
              <w:spacing w:lineRule="auto" w:line="240" w:before="0" w:after="0"/>
              <w:ind w:firstLine="311"/>
              <w:jc w:val="both"/>
              <w:rPr>
                <w:rFonts w:ascii="Times New Roman" w:hAnsi="Times New Roman"/>
                <w:color w:val="000000"/>
                <w:sz w:val="24"/>
                <w:szCs w:val="24"/>
                <w:highlight w:val="white"/>
              </w:rPr>
            </w:pPr>
            <w:r>
              <w:rPr>
                <w:color w:val="000000"/>
                <w:sz w:val="24"/>
                <w:szCs w:val="24"/>
                <w:highlight w:val="white"/>
              </w:rPr>
              <w:t xml:space="preserve">В границах Участка сети связи ПАО «Ростелеком» </w:t>
              <w:br/>
              <w:t>и их охранных зон нет.</w:t>
            </w:r>
          </w:p>
          <w:p>
            <w:pPr>
              <w:pStyle w:val="Normal"/>
              <w:spacing w:lineRule="auto" w:line="240" w:before="0" w:after="0"/>
              <w:ind w:firstLine="311"/>
              <w:jc w:val="both"/>
              <w:rPr>
                <w:rFonts w:ascii="Times New Roman" w:hAnsi="Times New Roman"/>
                <w:color w:val="000000"/>
                <w:sz w:val="24"/>
                <w:szCs w:val="24"/>
                <w:highlight w:val="white"/>
              </w:rPr>
            </w:pPr>
            <w:r>
              <w:rPr>
                <w:color w:val="000000"/>
                <w:sz w:val="24"/>
                <w:szCs w:val="24"/>
                <w:highlight w:val="white"/>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color w:val="000000"/>
                <w:sz w:val="24"/>
                <w:szCs w:val="24"/>
                <w:highlight w:val="white"/>
              </w:rPr>
              <w:t>ПАО «Ростелеком»</w:t>
            </w:r>
            <w:r>
              <w:rPr>
                <w:color w:val="000000"/>
                <w:sz w:val="24"/>
                <w:szCs w:val="24"/>
                <w:highlight w:val="white"/>
              </w:rPr>
              <w:t xml:space="preserve"> от 09.07.2025 № 01/05/101048/25</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на период до 2028 года предусмотрено строительство сетей водоснабжения и водоотведения в мкр. Заозерье.</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t xml:space="preserve">(Аналогичная информация отражена в письме </w:t>
            </w:r>
            <w:r>
              <w:rPr>
                <w:b/>
                <w:bCs/>
                <w:sz w:val="24"/>
                <w:szCs w:val="24"/>
                <w:highlight w:val="white"/>
                <w14:ligatures w14:val="none"/>
              </w:rPr>
              <w:t>д</w:t>
            </w:r>
            <w:r>
              <w:rPr>
                <w:b/>
                <w:sz w:val="24"/>
                <w:szCs w:val="24"/>
                <w:highlight w:val="white"/>
                <w14:ligatures w14:val="none"/>
              </w:rPr>
              <w:t xml:space="preserve">епартамента жилищно-коммунального хозяйства администрации города Перми </w:t>
            </w:r>
            <w:r>
              <w:rPr>
                <w:sz w:val="24"/>
                <w:szCs w:val="24"/>
                <w:highlight w:val="white"/>
                <w14:ligatures w14:val="none"/>
              </w:rPr>
              <w:t xml:space="preserve"> от 07.07.2025 № 059-04-17/3-595-ри</w:t>
            </w:r>
            <w:r>
              <w:rPr>
                <w:sz w:val="24"/>
                <w:szCs w:val="24"/>
                <w14:ligatures w14:val="non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1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1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238 500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11 925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b/>
                <w:bCs/>
                <w:color w:val="000000"/>
                <w:sz w:val="24"/>
                <w:szCs w:val="24"/>
                <w:shd w:fill="auto" w:val="clear"/>
                <w14:ligatures w14:val="none"/>
              </w:rPr>
            </w:pPr>
            <w:r>
              <w:rPr>
                <w:b/>
                <w:color w:val="000000"/>
                <w:sz w:val="24"/>
                <w:szCs w:val="24"/>
                <w:shd w:fill="auto" w:val="clear"/>
              </w:rPr>
              <w:t xml:space="preserve">Решение о проведении аукциона принято в соответствии со статьей 39.18 Земельного кодекса Российской Федерации, </w:t>
            </w:r>
            <w:r>
              <w:rPr>
                <w:b/>
                <w:bCs/>
                <w:color w:val="000000"/>
                <w:sz w:val="24"/>
                <w:szCs w:val="24"/>
                <w:shd w:fill="auto" w:val="clear"/>
              </w:rPr>
              <w:t>участниками аукциона могут являться только граждане.</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119 250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30.08.2024</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1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rFonts w:eastAsia="Courier New"/>
          <w:b/>
          <w:bCs/>
          <w:highlight w:val="none"/>
          <w:lang w:bidi="ru-RU"/>
        </w:rPr>
      </w:pPr>
      <w:r>
        <w:rPr>
          <w:rFonts w:eastAsia="Courier New"/>
          <w:b/>
          <w:bCs/>
          <w:lang w:bidi="ru-RU"/>
        </w:rPr>
      </w:r>
    </w:p>
    <w:p>
      <w:pPr>
        <w:pStyle w:val="Normal"/>
        <w:tabs>
          <w:tab w:val="clear" w:pos="708"/>
          <w:tab w:val="left" w:pos="5103" w:leader="none"/>
        </w:tabs>
        <w:ind w:right="-263"/>
        <w:rPr>
          <w:rFonts w:eastAsia="Courier New"/>
          <w:b/>
          <w:bCs/>
          <w:highlight w:val="none"/>
          <w:lang w:bidi="ru-RU"/>
        </w:rPr>
      </w:pPr>
      <w:r>
        <w:rPr>
          <w:rFonts w:eastAsia="Courier New"/>
          <w:b/>
          <w:bCs/>
          <w:lang w:bidi="ru-RU"/>
        </w:rPr>
      </w:r>
    </w:p>
    <w:p>
      <w:pPr>
        <w:pStyle w:val="Normal"/>
        <w:widowControl w:val="false"/>
        <w:spacing w:before="0" w:after="0"/>
        <w:ind w:left="0"/>
        <w:contextualSpacing/>
        <w:jc w:val="center"/>
        <w:rPr>
          <w:rFonts w:eastAsia="Courier New"/>
          <w:b/>
          <w:bCs/>
          <w:highlight w:val="none"/>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и время начала срока подачи заявок на участие в аукционе – 02.11.2025</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02.12.2025</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03.12.2025.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04.12</w:t>
      </w:r>
      <w:r>
        <w:rPr>
          <w:rFonts w:eastAsia="Courier New"/>
          <w:b/>
          <w:lang w:bidi="ru-RU"/>
        </w:rPr>
        <w:t>.2025</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highlight w:val="none"/>
        </w:rPr>
      </w:pPr>
      <w:r>
        <w:rPr>
          <w:b/>
        </w:rPr>
        <w:t>Место подачи (приема) заявок и место проведения аукциона:</w:t>
      </w:r>
      <w:r>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от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11"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02.11.2025 по 02.12.2025.</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участника аукциона, который сделал предпоследнее предложение 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 14, 20 или 25 ст.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ind w:firstLine="567" w:left="-567"/>
        <w:jc w:val="both"/>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highlight w:val="none"/>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02.11.2025 по 02.12.2025 с 9.00 до 18.00 по местному времени (7:00 – 16:00 МСК). </w:t>
      </w:r>
    </w:p>
    <w:p>
      <w:pPr>
        <w:pStyle w:val="NormalWeb"/>
        <w:jc w:val="center"/>
        <w:rPr>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b/>
          <w:bCs/>
          <w:highlight w:val="none"/>
          <w:shd w:fill="auto" w:val="clear"/>
        </w:rPr>
      </w:pPr>
      <w:r>
        <w:rPr>
          <w:b/>
          <w:bCs/>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kern w:val="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Заявитель заполняет электронную форму заявки, при</w:t>
      </w:r>
      <w:r>
        <w:rPr>
          <w:shd w:fill="auto" w:val="clear"/>
        </w:rPr>
        <w:t>кладывает предусмотренные извещением о проведении аукциона файлы документов (при необходимости). Документы и сведения из регистрационных данных заявителя на универсальной торговой платформе, актуальные на дату 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ind w:firstLine="567" w:left="-567"/>
        <w:jc w:val="both"/>
        <w:rPr>
          <w:rFonts w:ascii="Times New Roman" w:hAnsi="Times New Roman" w:eastAsia="Droid Sans Fallback" w:cs="Lohit Devanagari"/>
          <w:color w:val="auto"/>
          <w:sz w:val="24"/>
          <w:szCs w:val="24"/>
          <w:highlight w:val="none"/>
          <w:shd w:fill="auto" w:val="clear"/>
          <w:lang w:val="ru-RU" w:eastAsia="zh-CN" w:bidi="ar-SA"/>
        </w:rPr>
      </w:pPr>
      <w:r>
        <w:rPr>
          <w:rFonts w:eastAsia="Droid Sans Fallback" w:cs="Lohit Devanagari"/>
          <w:color w:val="000000"/>
          <w:sz w:val="24"/>
          <w:szCs w:val="24"/>
          <w:shd w:fill="auto" w:val="clear"/>
          <w:lang w:val="ru-RU" w:eastAsia="zh-CN" w:bidi="ar-SA"/>
        </w:rPr>
      </w:r>
    </w:p>
    <w:p>
      <w:pPr>
        <w:pStyle w:val="Normal"/>
        <w:widowControl w:val="false"/>
        <w:spacing w:lineRule="auto" w:line="276"/>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 или наибольший размер ежегодной арендной платы 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 договора является частью извещения и представлен в Приложении 1  к настоящему извещению.</w:t>
        <w:tab/>
      </w:r>
    </w:p>
    <w:p>
      <w:pPr>
        <w:pStyle w:val="Normal"/>
        <w:ind w:firstLine="567" w:left="-567"/>
        <w:jc w:val="both"/>
        <w:rPr>
          <w:highlight w:val="none"/>
          <w:shd w:fill="auto" w:val="clear"/>
        </w:rPr>
      </w:pPr>
      <w:r>
        <w:rPr>
          <w:bCs/>
          <w:shd w:fill="auto" w:val="clear"/>
        </w:rPr>
        <w:t xml:space="preserve">Если договор аренды земельного участка </w:t>
      </w:r>
      <w:r>
        <w:rPr>
          <w:b w:val="false"/>
          <w:bCs/>
          <w:shd w:fill="auto" w:val="clear"/>
        </w:rPr>
        <w:t>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заключения, включаются в реестр недобросовестных участников аукциона.</w:t>
      </w:r>
    </w:p>
    <w:sectPr>
      <w:headerReference w:type="default" r:id="rId12"/>
      <w:headerReference w:type="first" r:id="rId13"/>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16</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bullet"/>
      <w:lvlText w:val="o"/>
      <w:lvlJc w:val="left"/>
      <w:pPr>
        <w:tabs>
          <w:tab w:val="num" w:pos="0"/>
        </w:tabs>
        <w:ind w:left="1440" w:hanging="360"/>
      </w:pPr>
      <w:rPr>
        <w:rFonts w:ascii="Courier New" w:hAnsi="Courier New" w:cs="Courier New" w:hint="default"/>
        <w:sz w:val="24"/>
        <w:u w:val="none"/>
        <w:szCs w:val="24"/>
        <w:color w:val="000000"/>
        <w:lang w:val="ru-RU"/>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sz w:val="24"/>
        <w:szCs w:val="24"/>
        <w:lang w:val="ru-R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bidi="ru-RU"/>
      </w:rPr>
    </w:lvl>
    <w:lvl w:ilvl="6">
      <w:start w:val="1"/>
      <w:numFmt w:val="bullet"/>
      <w:lvlText w:val="·"/>
      <w:lvlJc w:val="left"/>
      <w:pPr>
        <w:tabs>
          <w:tab w:val="num" w:pos="0"/>
        </w:tabs>
        <w:ind w:left="5040" w:hanging="360"/>
      </w:pPr>
      <w:rPr>
        <w:rFonts w:ascii="Symbol" w:hAnsi="Symbol" w:cs="Symbol" w:hint="default"/>
        <w:lang w:eastAsia="en-US"/>
      </w:rPr>
    </w:lvl>
    <w:lvl w:ilvl="7">
      <w:start w:val="1"/>
      <w:numFmt w:val="bullet"/>
      <w:lvlText w:val="o"/>
      <w:lvlJc w:val="left"/>
      <w:pPr>
        <w:tabs>
          <w:tab w:val="num" w:pos="0"/>
        </w:tabs>
        <w:ind w:left="5760" w:hanging="360"/>
      </w:pPr>
      <w:rPr>
        <w:rFonts w:ascii="Courier New" w:hAnsi="Courier New" w:cs="Courier New" w:hint="default"/>
        <w:bCs/>
        <w:lang w:eastAsia="en-US" w:bidi="ru-RU"/>
      </w:rPr>
    </w:lvl>
    <w:lvl w:ilvl="8">
      <w:start w:val="1"/>
      <w:numFmt w:val="bullet"/>
      <w:lvlText w:val="§"/>
      <w:lvlJc w:val="left"/>
      <w:pPr>
        <w:tabs>
          <w:tab w:val="num" w:pos="0"/>
        </w:tabs>
        <w:ind w:left="6480" w:hanging="360"/>
      </w:pPr>
      <w:rPr>
        <w:rFonts w:ascii="Wingdings" w:hAnsi="Wingdings" w:cs="Wingdings" w:hint="default"/>
        <w:b/>
        <w:bCs/>
        <w:lang w:bidi="ru-RU"/>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0">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1"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2"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paragraph" w:styleId="TimesNewRoman">
    <w:name w:val="Times New Roman"/>
    <w:qFormat/>
    <w:pPr>
      <w:keepNext w:val="false"/>
      <w:keepLines w:val="false"/>
      <w:pageBreakBefore w:val="false"/>
      <w:widowControl/>
      <w:shd w:val="nil"/>
      <w:suppressAutoHyphens w:val="true"/>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 w:type="table" w:styleId="82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2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3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3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3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3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3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4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4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4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5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5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5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5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5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6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6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6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6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6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7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7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7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7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8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8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8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8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8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9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9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9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9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9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0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0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0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0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1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1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1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2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2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2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2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2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3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3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3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3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4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4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4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4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http://www.gorodperm.ru/" TargetMode="External"/><Relationship Id="rId10" Type="http://schemas.openxmlformats.org/officeDocument/2006/relationships/hyperlink" Target="http://www.gorodperm.ru/" TargetMode="External"/><Relationship Id="rId11" Type="http://schemas.openxmlformats.org/officeDocument/2006/relationships/hyperlink" Target="http://utp.sberbank-ast.ru/AP/Notice/653/Requisit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695</TotalTime>
  <Application>LibreOffice/7.6.7.2$Linux_X86_64 LibreOffice_project/60$Build-2</Application>
  <AppVersion>15.0000</AppVersion>
  <Pages>16</Pages>
  <Words>5506</Words>
  <Characters>38739</Characters>
  <CharactersWithSpaces>44178</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2025-10-30T10:32:43Z</dcterms:modified>
  <cp:revision>304</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