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30.10.2025 № 059-19-01-11-163</w:t>
      </w:r>
    </w:p>
    <w:p>
      <w:pPr>
        <w:pStyle w:val="Normal"/>
        <w:tabs>
          <w:tab w:val="clear" w:pos="708"/>
          <w:tab w:val="left" w:pos="4732" w:leader="none"/>
        </w:tabs>
        <w:ind w:left="283"/>
        <w:jc w:val="center"/>
        <w:rPr>
          <w:sz w:val="28"/>
          <w:szCs w:val="28"/>
        </w:rPr>
      </w:pPr>
      <w:r>
        <w:rPr>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 27.11.2025 электронного аукциона на право заключения договора аренды земельного участка</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Электронный аукцион на право заключения договора аренды земельного участка (далее – аукцион) проводится в соответствии со статьями 39.11, 39.12, 39.13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16"/>
          <w:szCs w:val="24"/>
        </w:rPr>
        <w:t xml:space="preserve"> </w:t>
      </w:r>
      <w:r>
        <w:rPr>
          <w:bCs/>
          <w:sz w:val="24"/>
          <w:szCs w:val="28"/>
        </w:rPr>
        <w:t>30.10.2025 № 059-19-01-11-163.</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w:t>
        <w:br/>
        <w:t xml:space="preserve">(далее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 xml:space="preserve">департамент земельных отношений администрации города Перми, местонахождение: 614015, </w:t>
        <w:br/>
        <w:t>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hyperlink r:id="rId9">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hyperlink>
      <w:r>
        <w:rPr>
          <w:rStyle w:val="Hyperlink"/>
          <w:bCs/>
          <w:sz w:val="24"/>
          <w:szCs w:val="24"/>
          <w:lang w:val="en-US"/>
        </w:rPr>
        <w:t>.</w:t>
      </w:r>
    </w:p>
    <w:p>
      <w:pPr>
        <w:pStyle w:val="Normal"/>
        <w:widowControl w:val="false"/>
        <w:ind w:firstLine="567" w:left="-567"/>
        <w:jc w:val="both"/>
        <w:rPr>
          <w:highlight w:val="none"/>
        </w:rPr>
      </w:pPr>
      <w:r>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center"/>
        <w:rPr>
          <w:b/>
          <w:lang w:val="ru-RU"/>
        </w:rPr>
      </w:pPr>
      <w:r>
        <w:rPr>
          <w:b/>
          <w:lang w:val="ru-RU"/>
        </w:rPr>
      </w:r>
    </w:p>
    <w:p>
      <w:pPr>
        <w:pStyle w:val="PlainText"/>
        <w:spacing w:lineRule="exact" w:line="240"/>
        <w:ind w:hanging="1134" w:left="1134"/>
        <w:jc w:val="left"/>
        <w:rPr/>
      </w:pPr>
      <w:r>
        <w:rPr>
          <w:rFonts w:cs="Times New Roman" w:ascii="Times New Roman" w:hAnsi="Times New Roman"/>
          <w:b/>
          <w:sz w:val="24"/>
          <w:szCs w:val="28"/>
          <w:lang w:val="ru-RU"/>
        </w:rPr>
        <w:t>Лот № 1</w:t>
      </w:r>
    </w:p>
    <w:tbl>
      <w:tblPr>
        <w:tblW w:w="5000" w:type="pct"/>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60"/>
        <w:gridCol w:w="629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60"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распоряжения начальника департамента земельных отношений администрации города </w:t>
            </w:r>
            <w:r>
              <w:rPr>
                <w:rFonts w:eastAsia="Droid Sans Fallback" w:cs="Lohit Devanagari"/>
                <w:color w:val="auto"/>
                <w:sz w:val="24"/>
                <w:szCs w:val="24"/>
                <w:lang w:val="ru-RU" w:eastAsia="zh-CN" w:bidi="ar-SA"/>
              </w:rPr>
              <w:t xml:space="preserve">Перми </w:t>
            </w:r>
            <w:r>
              <w:rPr>
                <w:rFonts w:eastAsia="Droid Sans Fallback" w:cs="Lohit Devanagari"/>
                <w:color w:val="auto"/>
                <w:sz w:val="24"/>
                <w:szCs w:val="28"/>
                <w:lang w:val="ru-RU" w:eastAsia="zh-CN" w:bidi="ar-SA"/>
              </w:rPr>
              <w:t>от 27 августа  2025 г. № 21-01-03-6910              «О проведении аукциона на право заключения договора аренды земельного участка в Свердловском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60"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тракт Бродовский, з/у 17г</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19417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59:01:4411058:1172</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29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складские площадки, хранение автотранспорта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29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294" w:type="dxa"/>
            <w:tcBorders>
              <w:top w:val="single" w:sz="4" w:space="0" w:color="000000"/>
              <w:left w:val="single" w:sz="4" w:space="0" w:color="000000"/>
              <w:bottom w:val="single" w:sz="4" w:space="0" w:color="000000"/>
              <w:right w:val="single" w:sz="4" w:space="0" w:color="000000"/>
            </w:tcBorders>
          </w:tcPr>
          <w:p>
            <w:pPr>
              <w:pStyle w:val="Normal"/>
              <w:ind w:firstLine="311"/>
              <w:jc w:val="both"/>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14.10.2025г. № КУВИ-001/2025-191118243</w:t>
            </w:r>
            <w:r>
              <w:rPr>
                <w:color w:val="auto"/>
                <w:sz w:val="24"/>
                <w:szCs w:val="24"/>
              </w:rPr>
              <w:t xml:space="preserve"> (далее – ЕГРН)</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2"/>
              <w:jc w:val="both"/>
              <w:rPr>
                <w:rFonts w:ascii="Times New Roman" w:hAnsi="Times New Roman"/>
                <w:sz w:val="24"/>
                <w:szCs w:val="24"/>
              </w:rPr>
            </w:pPr>
            <w:r>
              <w:rPr>
                <w:sz w:val="24"/>
                <w:szCs w:val="24"/>
              </w:rPr>
              <w:t>Согласно сведениям, содержащимся в Едином государственном реестре недвижимости (далее – ЕГРН), Участок не имеет связь с объектами капитального строительства.</w:t>
            </w:r>
          </w:p>
          <w:p>
            <w:pPr>
              <w:pStyle w:val="Normal"/>
              <w:spacing w:lineRule="auto" w:line="240" w:before="0" w:after="0"/>
              <w:ind w:firstLine="452"/>
              <w:jc w:val="both"/>
              <w:rPr>
                <w:rFonts w:ascii="Times New Roman" w:hAnsi="Times New Roman"/>
                <w:sz w:val="24"/>
                <w:szCs w:val="24"/>
                <w:highlight w:val="none"/>
              </w:rPr>
            </w:pPr>
            <w:r>
              <w:rPr>
                <w:sz w:val="24"/>
                <w:szCs w:val="24"/>
              </w:rPr>
              <w:t>Согласно копии планшета М 1:500, требующего корректуры, данным геодезической съемки, выполненной в 2025 году, в границах Участка расположены: сети водоотведения (ливневой канализации), электроснабжения, металлические некапитальные объекты, Участок частично огражден забором на металлических столбиках, в северной части Участка расположено железобетонное ограждение. На геодезической съемке имеется информация</w:t>
              <w:br/>
              <w:t>о размещении в границах Участка поддонов, каменного нежилого объекта. Вдоль границ Участка расположены сети газоснабжения, водоснабжения.</w:t>
            </w:r>
          </w:p>
          <w:p>
            <w:pPr>
              <w:pStyle w:val="Normal"/>
              <w:spacing w:lineRule="auto" w:line="240" w:before="0" w:after="0"/>
              <w:ind w:firstLine="311"/>
              <w:jc w:val="both"/>
              <w:rPr>
                <w:rFonts w:ascii="Times New Roman" w:hAnsi="Times New Roman"/>
                <w:sz w:val="24"/>
                <w:szCs w:val="24"/>
                <w:highlight w:val="none"/>
              </w:rPr>
            </w:pPr>
            <w:r>
              <w:rPr>
                <w:sz w:val="24"/>
                <w:szCs w:val="24"/>
              </w:rPr>
              <w:t>Размещение объекта необходимо предусматривать строго за пределами охранных зон сетей в соответствии норм, указанных в таблице 12.5 СП 42.13330.2016 «Градостроительство планировка и застройка городских и сельских поселений» (</w:t>
            </w:r>
            <w:r>
              <w:rPr>
                <w:sz w:val="24"/>
                <w:szCs w:val="24"/>
                <w:lang w:val="en-US"/>
              </w:rPr>
              <w:t>актуализированная редакция СНиП 2.07.01-89*), утвержденны</w:t>
            </w:r>
            <w:r>
              <w:rPr>
                <w:sz w:val="24"/>
                <w:szCs w:val="24"/>
              </w:rPr>
              <w:t>х</w:t>
            </w:r>
            <w:r>
              <w:rPr>
                <w:sz w:val="24"/>
                <w:szCs w:val="24"/>
                <w:lang w:val="en-US"/>
              </w:rPr>
              <w:t xml:space="preserve"> Приказом Минстроя</w:t>
            </w:r>
            <w:r>
              <w:rPr>
                <w:sz w:val="24"/>
                <w:szCs w:val="24"/>
              </w:rPr>
              <w:br/>
            </w:r>
            <w:r>
              <w:rPr>
                <w:sz w:val="24"/>
                <w:szCs w:val="24"/>
                <w:lang w:val="en-US"/>
              </w:rPr>
              <w:t xml:space="preserve">от 30 декабря 2016 г. </w:t>
            </w:r>
            <w:r>
              <w:rPr>
                <w:sz w:val="24"/>
                <w:szCs w:val="24"/>
              </w:rPr>
              <w:t>№</w:t>
            </w:r>
            <w:r>
              <w:rPr>
                <w:sz w:val="24"/>
                <w:szCs w:val="24"/>
                <w:lang w:val="en-US"/>
              </w:rPr>
              <w:t xml:space="preserve"> 1034/пр</w:t>
            </w:r>
            <w:r>
              <w:rPr>
                <w:sz w:val="24"/>
                <w:szCs w:val="24"/>
              </w:rPr>
              <w:t>.</w:t>
            </w:r>
          </w:p>
          <w:p>
            <w:pPr>
              <w:pStyle w:val="Normal"/>
              <w:spacing w:lineRule="auto" w:line="240" w:before="0" w:after="0"/>
              <w:ind w:firstLine="311"/>
              <w:jc w:val="both"/>
              <w:rPr>
                <w:rFonts w:ascii="Times New Roman" w:hAnsi="Times New Roman"/>
                <w:sz w:val="24"/>
                <w:szCs w:val="24"/>
              </w:rPr>
            </w:pPr>
            <w:r>
              <w:rPr>
                <w:sz w:val="24"/>
                <w:szCs w:val="24"/>
              </w:rPr>
              <w:t>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spacing w:lineRule="auto" w:line="240" w:before="0" w:after="0"/>
              <w:ind w:firstLine="311"/>
              <w:jc w:val="both"/>
              <w:rPr>
                <w:rFonts w:ascii="Times New Roman" w:hAnsi="Times New Roman"/>
                <w:sz w:val="24"/>
                <w:szCs w:val="24"/>
              </w:rPr>
            </w:pPr>
            <w:r>
              <w:rPr>
                <w:sz w:val="24"/>
                <w:szCs w:val="24"/>
              </w:rPr>
              <w:t xml:space="preserve">Учитывая, что указанные линейные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w:t>
              <w:br/>
              <w:t>не является основанием для отказа в предоставлении земельного участка на торгах и земельный участок может быть предметом аукциона.</w:t>
            </w:r>
          </w:p>
          <w:p>
            <w:pPr>
              <w:pStyle w:val="Normal"/>
              <w:spacing w:lineRule="auto" w:line="240" w:before="0" w:after="0"/>
              <w:ind w:firstLine="311"/>
              <w:jc w:val="both"/>
              <w:rPr>
                <w:rFonts w:ascii="Times New Roman" w:hAnsi="Times New Roman"/>
                <w:sz w:val="24"/>
                <w:szCs w:val="24"/>
                <w:highlight w:val="none"/>
                <w14:ligatures w14:val="none"/>
              </w:rPr>
            </w:pPr>
            <w:r>
              <w:rPr>
                <w:sz w:val="24"/>
              </w:rPr>
              <w:t>Со</w:t>
            </w:r>
            <w:r>
              <w:rPr>
                <w:sz w:val="24"/>
                <w:szCs w:val="24"/>
              </w:rPr>
              <w:t xml:space="preserve">гласно </w:t>
            </w:r>
            <w:r>
              <w:rPr>
                <w:b/>
                <w:bCs/>
                <w:sz w:val="24"/>
                <w:szCs w:val="24"/>
              </w:rPr>
              <w:t>акту осмотра</w:t>
            </w:r>
            <w:r>
              <w:rPr>
                <w:sz w:val="24"/>
                <w:szCs w:val="24"/>
              </w:rPr>
              <w:t xml:space="preserve"> Участка от 13.10.2025, проведенному специалистом департамента земельных отношений администрации города Перми, Участок частично огорожен металлическим ограждением. На Участке расположена будка охраны (на момент проведения осмотра не функционировала), припаркован большегрузный и легковой автотранспорт с номерами государственной регистрации, складированы деревянные поддоны, доски, пиломатериал, металлолом, размещен металлический контейнер, металлическая бытовка.</w:t>
            </w:r>
          </w:p>
          <w:p>
            <w:pPr>
              <w:pStyle w:val="Normal"/>
              <w:spacing w:lineRule="auto" w:line="240" w:before="0" w:after="0"/>
              <w:ind w:firstLine="311"/>
              <w:jc w:val="both"/>
              <w:rPr/>
            </w:pPr>
            <w:r>
              <w:rPr>
                <w:sz w:val="24"/>
                <w:szCs w:val="24"/>
              </w:rPr>
              <w:t xml:space="preserve">Ближайшие пожарные гидранты расположены </w:t>
              <w:br/>
              <w:t>по адресам:</w:t>
            </w:r>
          </w:p>
          <w:p>
            <w:pPr>
              <w:pStyle w:val="Normal"/>
              <w:spacing w:lineRule="auto" w:line="240" w:before="0" w:after="0"/>
              <w:ind w:firstLine="311"/>
              <w:jc w:val="both"/>
              <w:rPr/>
            </w:pPr>
            <w:r>
              <w:rPr>
                <w:sz w:val="24"/>
                <w:szCs w:val="24"/>
              </w:rPr>
              <w:t>г. Пермь, Бродовский тракт 11б ПГN№ 1;</w:t>
            </w:r>
          </w:p>
          <w:p>
            <w:pPr>
              <w:pStyle w:val="Normal"/>
              <w:spacing w:lineRule="auto" w:line="240" w:before="0" w:after="0"/>
              <w:ind w:firstLine="311"/>
              <w:jc w:val="both"/>
              <w:rPr/>
            </w:pPr>
            <w:r>
              <w:rPr>
                <w:sz w:val="24"/>
                <w:szCs w:val="24"/>
              </w:rPr>
              <w:t>г. Пермь, Бродовский тракт 11б ПГ№ 2;</w:t>
            </w:r>
          </w:p>
          <w:p>
            <w:pPr>
              <w:pStyle w:val="Normal"/>
              <w:spacing w:lineRule="auto" w:line="240" w:before="0" w:after="0"/>
              <w:ind w:firstLine="311"/>
              <w:jc w:val="both"/>
              <w:rPr/>
            </w:pPr>
            <w:r>
              <w:rPr>
                <w:sz w:val="24"/>
                <w:szCs w:val="24"/>
              </w:rPr>
              <w:t>г. Пермь, Бродовский тракт 11б ПГ№ 3;</w:t>
            </w:r>
          </w:p>
          <w:p>
            <w:pPr>
              <w:pStyle w:val="Normal"/>
              <w:spacing w:lineRule="auto" w:line="240" w:before="0" w:after="0"/>
              <w:ind w:firstLine="311"/>
              <w:jc w:val="both"/>
              <w:rPr/>
            </w:pPr>
            <w:r>
              <w:rPr>
                <w:sz w:val="24"/>
                <w:szCs w:val="24"/>
              </w:rPr>
              <w:t>г. Пермь, Бродовский тракт 11б ПГ№ 4;</w:t>
            </w:r>
          </w:p>
          <w:p>
            <w:pPr>
              <w:pStyle w:val="Normal"/>
              <w:spacing w:lineRule="auto" w:line="240" w:before="0" w:after="0"/>
              <w:ind w:firstLine="311"/>
              <w:jc w:val="both"/>
              <w:rPr/>
            </w:pPr>
            <w:r>
              <w:rPr>
                <w:sz w:val="24"/>
                <w:szCs w:val="24"/>
              </w:rPr>
              <w:t>г. Пермь, Бродовский тракт 11б ПГ№ 5.</w:t>
            </w:r>
          </w:p>
          <w:p>
            <w:pPr>
              <w:pStyle w:val="Normal"/>
              <w:spacing w:lineRule="auto" w:line="240" w:before="0" w:after="0"/>
              <w:ind w:firstLine="311"/>
              <w:jc w:val="both"/>
              <w:rPr>
                <w:rFonts w:ascii="Times New Roman" w:hAnsi="Times New Roman"/>
                <w:sz w:val="24"/>
                <w:szCs w:val="24"/>
                <w:highlight w:val="none"/>
              </w:rPr>
            </w:pPr>
            <w:r>
              <w:rPr>
                <w:sz w:val="24"/>
                <w:szCs w:val="24"/>
              </w:rPr>
              <w:t xml:space="preserve">Собственник (гарантирующая организация) </w:t>
              <w:br/>
              <w:t>ООО «ИНГК-ПРОМТЕХ».</w:t>
            </w:r>
          </w:p>
          <w:p>
            <w:pPr>
              <w:pStyle w:val="Normal"/>
              <w:spacing w:lineRule="auto" w:line="240" w:before="0" w:after="0"/>
              <w:ind w:firstLine="311"/>
              <w:jc w:val="both"/>
              <w:rPr>
                <w:rFonts w:ascii="Times New Roman" w:hAnsi="Times New Roman"/>
                <w:sz w:val="24"/>
                <w:szCs w:val="24"/>
              </w:rPr>
            </w:pPr>
            <w:r>
              <w:rPr>
                <w:sz w:val="24"/>
                <w:szCs w:val="24"/>
              </w:rPr>
              <w:t xml:space="preserve">По сведениям, содержащимся в ЕГРН, справке </w:t>
              <w:br/>
              <w:t xml:space="preserve">по градостроительным условиям земельного участка </w:t>
              <w:br/>
              <w:t>от 15.10.2025 № 650542 Участок расположен в границах зон с особыми условиями использования территории:</w:t>
            </w:r>
          </w:p>
          <w:p>
            <w:pPr>
              <w:pStyle w:val="Normal"/>
              <w:spacing w:lineRule="auto" w:line="240" w:before="0" w:after="0"/>
              <w:ind w:firstLine="452"/>
              <w:jc w:val="both"/>
              <w:rPr>
                <w:rFonts w:ascii="Times New Roman" w:hAnsi="Times New Roman"/>
                <w:sz w:val="24"/>
                <w:szCs w:val="24"/>
              </w:rPr>
            </w:pPr>
            <w:r>
              <w:rPr>
                <w:sz w:val="24"/>
                <w:szCs w:val="24"/>
              </w:rPr>
              <w:t>в границах зоны с особыми условиями использования территории Охранная зона транспорта «Зона с особыми условиями использования - Приаэродромная территория аэродрома аэропорта Большое Савино», 59:32-6.553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Normal"/>
              <w:spacing w:lineRule="auto" w:line="240" w:before="0" w:after="0"/>
              <w:ind w:firstLine="452"/>
              <w:jc w:val="both"/>
              <w:rPr/>
            </w:pPr>
            <w:r>
              <w:rPr>
                <w:sz w:val="24"/>
                <w:szCs w:val="24"/>
              </w:rPr>
              <w:t>в границах зоны с особыми условиями использования территории Охранная зона ВЛ-10кВ Васильева-2 ПС Бахаревка, частично площадью 317 кв. м, 59:01-6.5471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452"/>
              <w:jc w:val="both"/>
              <w:rPr>
                <w:rFonts w:ascii="Times New Roman" w:hAnsi="Times New Roman"/>
                <w:sz w:val="24"/>
                <w:szCs w:val="24"/>
                <w:highlight w:val="none"/>
              </w:rPr>
            </w:pPr>
            <w:r>
              <w:rPr>
                <w:sz w:val="24"/>
                <w:szCs w:val="24"/>
              </w:rPr>
              <w:t xml:space="preserve">в границах зоны с особыми условиями использования территории Границы минимальных расстояний до технологического газопровода «Газопровод «Ярино-Пермь», установленных исходя из наибольшего из минимальных расстояний, предусмотренных сводами правил, в результате применения которых обеспечивается соблюдение требований Федерального закона от 30 декабря 2009 г. № 384-ФЗ «Технический регламент о безопасности зданий и сооружений», частично площадью 459 кв. м, 59:00-6.2198 (Приказ Министерства энергетики Российской Федерации от 25.03.2025 № 319 </w:t>
              <w:br/>
              <w:t>«Об утверждении графического описания местоположения границ минимальных расстояний до технологического газопровода «Газопровод «Ярино-Пермь» и перечня координат характерных точек этих границ»; «СП 284.1325800.2016. Свод правил. Трубопроводы промысловые для нефти и газа. Правила проектирования и производства работ» (утв. и введен в действие Приказом Минстроя России от 16.12.2016 № 978/пр));</w:t>
            </w:r>
          </w:p>
          <w:p>
            <w:pPr>
              <w:pStyle w:val="Normal"/>
              <w:spacing w:lineRule="auto" w:line="240" w:before="0" w:after="0"/>
              <w:ind w:firstLine="452"/>
              <w:jc w:val="both"/>
              <w:rPr>
                <w:rFonts w:ascii="Times New Roman" w:hAnsi="Times New Roman"/>
                <w:sz w:val="24"/>
                <w:szCs w:val="24"/>
                <w:highlight w:val="none"/>
              </w:rPr>
            </w:pPr>
            <w:r>
              <w:rPr>
                <w:sz w:val="24"/>
                <w:szCs w:val="24"/>
              </w:rPr>
              <w:t>в границах зоны с особыми условиями использования территории Санитарно-защитная зона Автомобильная газонаполнительная компрессорная станция (АГНКС-3) ООО «Газпром газомоторное топливо», частично площадью 1962 кв. м (Решение главного государственного санитарного врача по Пермскому краю «Об установлении санитарно-защитной зоны для автомобильной газонаполнительной компрессорной станции (АГНКС-3) ООО "Газпром газомоторное топливо" по адресу: Пермский край, г. Пермь, Бродовский тракт, 15д № 66 от 14.04.2021);</w:t>
            </w:r>
          </w:p>
          <w:p>
            <w:pPr>
              <w:pStyle w:val="Normal"/>
              <w:spacing w:lineRule="auto" w:line="240" w:before="0" w:after="0"/>
              <w:ind w:firstLine="452"/>
              <w:jc w:val="both"/>
              <w:rPr/>
            </w:pPr>
            <w:r>
              <w:rPr>
                <w:sz w:val="24"/>
                <w:szCs w:val="24"/>
              </w:rPr>
              <w:t>в границах зоны с особыми условиями использования территории Санитарно-защитная зона ОАО "Велта", частично площадью 1304 кв. м (Решение главного государственного санитарного врача по Пермскому краю «Об установлении размеров санитарно-защитной зоны для объектов, расположенных на промышленной площадке ликвидированного ОАО «Велта» на участке от ул.Козьмы Минина до ул.Героев Хасана № 33 от 16.06.2011);</w:t>
            </w:r>
          </w:p>
          <w:p>
            <w:pPr>
              <w:pStyle w:val="Normal"/>
              <w:spacing w:lineRule="auto" w:line="240" w:before="0" w:after="0"/>
              <w:ind w:firstLine="311"/>
              <w:jc w:val="both"/>
              <w:rPr>
                <w:rFonts w:ascii="Times New Roman" w:hAnsi="Times New Roman"/>
                <w:b/>
                <w:sz w:val="24"/>
              </w:rPr>
            </w:pPr>
            <w:r>
              <w:rPr>
                <w:b/>
                <w:sz w:val="24"/>
              </w:rPr>
            </w:r>
          </w:p>
          <w:p>
            <w:pPr>
              <w:pStyle w:val="Normal"/>
              <w:spacing w:lineRule="auto" w:line="240" w:before="0" w:after="0"/>
              <w:ind w:firstLine="283"/>
              <w:jc w:val="both"/>
              <w:rPr/>
            </w:pPr>
            <w:r>
              <w:rPr>
                <w:color w:val="000000"/>
                <w:sz w:val="24"/>
                <w:szCs w:val="24"/>
              </w:rPr>
              <w:t xml:space="preserve"> </w:t>
            </w:r>
            <w:r>
              <w:rPr>
                <w:color w:val="000000"/>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на период 2025-2029 годы мероприятия по строительству, реконструкции, капитальному ремонту улично-дорожной сети на рассматриваемых территориях не предусмотрены.</w:t>
            </w:r>
          </w:p>
          <w:p>
            <w:pPr>
              <w:pStyle w:val="Normal"/>
              <w:spacing w:lineRule="auto" w:line="240" w:before="0" w:after="0"/>
              <w:ind w:firstLine="283"/>
              <w:jc w:val="both"/>
              <w:rPr>
                <w:rFonts w:ascii="Times New Roman" w:hAnsi="Times New Roman"/>
                <w:color w:val="000000"/>
                <w14:ligatures w14:val="none"/>
              </w:rPr>
            </w:pPr>
            <w:r>
              <w:rPr>
                <w:color w:val="000000"/>
                <w:sz w:val="24"/>
                <w:szCs w:val="24"/>
              </w:rPr>
              <w:t>Для примыкания Участка к улично-дорожной сети города Перми необходимо выполнить мероприятия, указанные в настоящем письме.</w:t>
            </w:r>
          </w:p>
          <w:p>
            <w:pPr>
              <w:pStyle w:val="Normal"/>
              <w:spacing w:lineRule="auto" w:line="240" w:before="0" w:after="0"/>
              <w:ind w:firstLine="283"/>
              <w:jc w:val="both"/>
              <w:rPr>
                <w:rFonts w:ascii="Times New Roman" w:hAnsi="Times New Roman"/>
                <w:color w:val="000000"/>
                <w:sz w:val="24"/>
                <w:szCs w:val="24"/>
              </w:rPr>
            </w:pPr>
            <w:r>
              <w:rPr>
                <w:color w:val="000000"/>
                <w:sz w:val="24"/>
                <w:szCs w:val="24"/>
              </w:rPr>
              <w:t xml:space="preserve">Дополнительно направляется информация </w:t>
              <w:br/>
              <w:t>о необходимости соблюдения Правил благоустройства территории города Перми, утвержденных решением Пермской городской Думы от 15.12.2020</w:t>
              <w:br/>
              <w:t>№ 277:</w:t>
            </w:r>
          </w:p>
          <w:p>
            <w:pPr>
              <w:pStyle w:val="Normal"/>
              <w:spacing w:lineRule="auto" w:line="240" w:before="0" w:after="0"/>
              <w:ind w:firstLine="283"/>
              <w:jc w:val="both"/>
              <w:rPr>
                <w:rFonts w:ascii="Times New Roman" w:hAnsi="Times New Roman"/>
                <w:color w:val="000000"/>
                <w:sz w:val="24"/>
                <w:szCs w:val="24"/>
              </w:rPr>
            </w:pPr>
            <w:r>
              <w:rPr>
                <w:color w:val="000000"/>
                <w:sz w:val="24"/>
                <w:szCs w:val="24"/>
              </w:rPr>
              <w:t>поверхностный водоотвод решить проектом</w:t>
              <w:br/>
              <w:t xml:space="preserve">без подтопления смежных территорий, в соответствии </w:t>
              <w:br/>
              <w:t xml:space="preserve">с действующими нормативно-правовыми актами </w:t>
              <w:br/>
              <w:t>и природоохранным законодательством;</w:t>
            </w:r>
          </w:p>
          <w:p>
            <w:pPr>
              <w:pStyle w:val="Normal"/>
              <w:spacing w:lineRule="auto" w:line="240" w:before="0" w:after="0"/>
              <w:ind w:firstLine="283"/>
              <w:jc w:val="both"/>
              <w:rPr>
                <w:rFonts w:ascii="Times New Roman" w:hAnsi="Times New Roman"/>
                <w:color w:val="000000"/>
                <w:sz w:val="24"/>
                <w:szCs w:val="24"/>
              </w:rPr>
            </w:pPr>
            <w:r>
              <w:rPr>
                <w:color w:val="000000"/>
                <w:sz w:val="24"/>
                <w:szCs w:val="24"/>
              </w:rPr>
              <w:t>предусмотреть электроосвещение территории объекта;</w:t>
            </w:r>
          </w:p>
          <w:p>
            <w:pPr>
              <w:pStyle w:val="Normal"/>
              <w:spacing w:lineRule="auto" w:line="240" w:before="0" w:after="0"/>
              <w:ind w:firstLine="283"/>
              <w:jc w:val="both"/>
              <w:rPr>
                <w:rFonts w:ascii="Times New Roman" w:hAnsi="Times New Roman"/>
                <w:color w:val="000000"/>
                <w:sz w:val="24"/>
                <w:szCs w:val="24"/>
              </w:rPr>
            </w:pPr>
            <w:r>
              <w:rPr>
                <w:color w:val="000000"/>
                <w:sz w:val="24"/>
                <w:szCs w:val="24"/>
              </w:rPr>
              <w:t>стоянку для временного хранения транспорта разместить в границах отведенного под строительство земельного участка вне территории общего пользования;</w:t>
            </w:r>
          </w:p>
          <w:p>
            <w:pPr>
              <w:pStyle w:val="Normal"/>
              <w:spacing w:lineRule="auto" w:line="240" w:before="0" w:after="0"/>
              <w:ind w:firstLine="283"/>
              <w:jc w:val="both"/>
              <w:rPr>
                <w:rFonts w:ascii="Times New Roman" w:hAnsi="Times New Roman"/>
                <w:color w:val="000000"/>
                <w:sz w:val="24"/>
                <w:szCs w:val="24"/>
              </w:rPr>
            </w:pPr>
            <w:r>
              <w:rPr>
                <w:color w:val="000000"/>
                <w:sz w:val="24"/>
                <w:szCs w:val="24"/>
              </w:rPr>
              <w:t>предусмотреть устройство подъезда к Участку или ликвидацию разрушений, повреждений дорожного покрытия существующего проезда от границ Участка до существующей улично-дорожной сети, а так же наружное освещение подъезда.</w:t>
            </w:r>
          </w:p>
          <w:p>
            <w:pPr>
              <w:pStyle w:val="Normal"/>
              <w:spacing w:lineRule="auto" w:line="240" w:before="0" w:after="0"/>
              <w:ind w:firstLine="283"/>
              <w:jc w:val="both"/>
              <w:rPr>
                <w:rFonts w:ascii="Times New Roman" w:hAnsi="Times New Roman"/>
                <w:color w:val="000000"/>
                <w:sz w:val="24"/>
                <w:szCs w:val="24"/>
              </w:rPr>
            </w:pPr>
            <w:r>
              <w:rPr>
                <w:color w:val="000000"/>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11"/>
              <w:jc w:val="both"/>
              <w:rPr>
                <w:rFonts w:ascii="Times New Roman" w:hAnsi="Times New Roman"/>
                <w:sz w:val="24"/>
                <w:szCs w:val="24"/>
                <w:highlight w:val="none"/>
              </w:rPr>
            </w:pPr>
            <w:r>
              <w:rPr>
                <w:sz w:val="24"/>
                <w:szCs w:val="24"/>
              </w:rPr>
              <w:t>(Аналогичная информация отражена в письме д</w:t>
            </w:r>
            <w:r>
              <w:rPr>
                <w:b/>
                <w:color w:val="000000"/>
                <w:sz w:val="24"/>
                <w:szCs w:val="24"/>
              </w:rPr>
              <w:t>епартамента дорог и благоустройства администрации города Перми</w:t>
            </w:r>
            <w:r>
              <w:rPr>
                <w:color w:val="000000"/>
                <w:sz w:val="24"/>
                <w:szCs w:val="24"/>
              </w:rPr>
              <w:t xml:space="preserve">  от 04.08.2025 № 059-24-01-36/3-2753</w:t>
            </w:r>
            <w:r>
              <w:rPr>
                <w:sz w:val="24"/>
                <w:szCs w:val="24"/>
              </w:rPr>
              <w:t>).</w:t>
            </w:r>
          </w:p>
          <w:p>
            <w:pPr>
              <w:pStyle w:val="Normal"/>
              <w:spacing w:lineRule="auto" w:line="240" w:before="0" w:after="0"/>
              <w:ind w:firstLine="311"/>
              <w:jc w:val="both"/>
              <w:rPr>
                <w:rFonts w:ascii="Times New Roman" w:hAnsi="Times New Roman"/>
                <w:sz w:val="24"/>
                <w:szCs w:val="24"/>
                <w:highlight w:val="none"/>
              </w:rPr>
            </w:pPr>
            <w:r>
              <w:rPr>
                <w:sz w:val="24"/>
                <w:szCs w:val="24"/>
              </w:rPr>
            </w:r>
          </w:p>
          <w:p>
            <w:pPr>
              <w:pStyle w:val="Normal"/>
              <w:spacing w:lineRule="auto" w:line="240" w:before="0" w:after="0"/>
              <w:ind w:firstLine="283"/>
              <w:jc w:val="both"/>
              <w:rPr/>
            </w:pPr>
            <w:r>
              <w:rPr>
                <w:color w:val="000000"/>
                <w:spacing w:val="-6"/>
                <w:sz w:val="24"/>
                <w:szCs w:val="24"/>
              </w:rPr>
              <w:t>На указанной территории источники противопожарного водоснабжения отсутствуют.</w:t>
            </w:r>
          </w:p>
          <w:p>
            <w:pPr>
              <w:pStyle w:val="Normal"/>
              <w:spacing w:lineRule="auto" w:line="240" w:before="0" w:after="0"/>
              <w:ind w:firstLine="283"/>
              <w:jc w:val="both"/>
              <w:rPr>
                <w:rFonts w:ascii="Times New Roman" w:hAnsi="Times New Roman"/>
                <w:color w:val="000000"/>
                <w:spacing w:val="-6"/>
                <w:sz w:val="24"/>
                <w:szCs w:val="24"/>
                <w14:ligatures w14:val="none"/>
              </w:rPr>
            </w:pPr>
            <w:r>
              <w:rPr>
                <w:color w:val="000000"/>
                <w:spacing w:val="-6"/>
                <w:sz w:val="24"/>
                <w:szCs w:val="24"/>
              </w:rPr>
              <w:t xml:space="preserve">При планировке и размещении объектов </w:t>
              <w:br/>
              <w:t xml:space="preserve">на вышеуказанной территории необходимо соблюдать нормы и требования действующего законодательства: федеральных законов от 21 декабря 1994 г. № 69-ФЗ </w:t>
              <w:br/>
              <w:t>«О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w:t>
              <w:br/>
              <w:t>от 30.03.2020 № 225,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jc w:val="both"/>
              <w:rPr>
                <w:rFonts w:ascii="Times New Roman" w:hAnsi="Times New Roman"/>
                <w:color w:val="000000"/>
                <w:spacing w:val="-6"/>
                <w:sz w:val="24"/>
                <w:szCs w:val="24"/>
                <w14:ligatures w14:val="none"/>
              </w:rPr>
            </w:pPr>
            <w:r>
              <w:rPr>
                <w:color w:val="000000"/>
                <w:spacing w:val="-6"/>
                <w:sz w:val="24"/>
                <w:szCs w:val="24"/>
              </w:rPr>
              <w:t>Информация о подразделениях пожарной охраны</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находится по адресу: ул. Белинского, 52.</w:t>
            </w:r>
          </w:p>
          <w:p>
            <w:pPr>
              <w:pStyle w:val="Normal"/>
              <w:spacing w:lineRule="auto" w:line="240" w:before="0" w:after="0"/>
              <w:ind w:firstLine="283"/>
              <w:jc w:val="both"/>
              <w:rPr>
                <w:rFonts w:ascii="Times New Roman" w:hAnsi="Times New Roman"/>
                <w:color w:val="000000"/>
                <w:spacing w:val="-6"/>
                <w:sz w:val="24"/>
                <w:szCs w:val="24"/>
                <w14:ligatures w14:val="none"/>
              </w:rPr>
            </w:pPr>
            <w:r>
              <w:rPr>
                <w:color w:val="000000"/>
                <w:spacing w:val="-6"/>
                <w:sz w:val="24"/>
                <w:szCs w:val="24"/>
              </w:rPr>
              <w:t xml:space="preserve">Объекты общественной безопасности, отнесенные </w:t>
              <w:br/>
              <w:t>к объектам полиции (участковые пункты полиции) в данном микрорайоне отсутствуют. Ближайший участковый пункт расположен по адресу: г. Пермь, ул. Казахская, 105 (микрорайон Южный, Свердловский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jc w:val="both"/>
              <w:rPr>
                <w:rFonts w:ascii="Times New Roman" w:hAnsi="Times New Roman"/>
                <w:color w:val="000000"/>
                <w:spacing w:val="-6"/>
                <w:sz w:val="24"/>
                <w:szCs w:val="24"/>
                <w:highlight w:val="none"/>
                <w14:ligatures w14:val="none"/>
              </w:rPr>
            </w:pPr>
            <w:r>
              <w:rPr>
                <w:color w:val="000000"/>
                <w:spacing w:val="-6"/>
                <w:sz w:val="24"/>
                <w:szCs w:val="24"/>
              </w:rPr>
              <w:t xml:space="preserve">По информации, предоставленной Министерством территориальной безопасности Пермского края (письмо </w:t>
              <w:br/>
              <w:t>от 07.10.2020 № 964с), рассматриваемый земельный участок попадает в зону возможного химического заражения в особый период.</w:t>
            </w:r>
          </w:p>
          <w:p>
            <w:pPr>
              <w:pStyle w:val="Normal"/>
              <w:spacing w:lineRule="auto" w:line="240" w:before="0" w:after="0"/>
              <w:ind w:firstLine="283"/>
              <w:jc w:val="both"/>
              <w:rPr>
                <w:rFonts w:ascii="Times New Roman" w:hAnsi="Times New Roman"/>
                <w:color w:val="000000"/>
                <w:spacing w:val="-6"/>
                <w:sz w:val="24"/>
                <w:szCs w:val="24"/>
                <w14:ligatures w14:val="none"/>
              </w:rPr>
            </w:pPr>
            <w:r>
              <w:rPr>
                <w:color w:val="000000"/>
                <w:spacing w:val="-6"/>
                <w:sz w:val="24"/>
                <w:szCs w:val="24"/>
              </w:rPr>
              <w:t>Участок находится в зоне действия системы оповещения населения города Перми, установленной по ул. Героев Хасана, 109/2б – 1500 м.</w:t>
            </w:r>
          </w:p>
          <w:p>
            <w:pPr>
              <w:pStyle w:val="Normal"/>
              <w:spacing w:lineRule="auto" w:line="240" w:before="0" w:after="0"/>
              <w:ind w:firstLine="311"/>
              <w:jc w:val="both"/>
              <w:rPr>
                <w:rFonts w:ascii="Times New Roman" w:hAnsi="Times New Roman"/>
                <w:sz w:val="24"/>
                <w:szCs w:val="24"/>
                <w:highlight w:val="none"/>
              </w:rPr>
            </w:pPr>
            <w:r>
              <w:rPr>
                <w:sz w:val="24"/>
                <w:szCs w:val="24"/>
              </w:rPr>
              <w:t xml:space="preserve">(Аналогичная информация отражена в письме </w:t>
            </w:r>
            <w:r>
              <w:rPr>
                <w:b/>
                <w:color w:val="000000"/>
                <w:sz w:val="24"/>
                <w:szCs w:val="24"/>
              </w:rPr>
              <w:t>департамента общественной безопасности администрации города Перми</w:t>
            </w:r>
            <w:r>
              <w:rPr>
                <w:color w:val="000000"/>
                <w:sz w:val="24"/>
                <w:szCs w:val="24"/>
              </w:rPr>
              <w:t xml:space="preserve"> от 30.07.2025 № 059-10-01-27/3-1661</w:t>
            </w:r>
            <w:r>
              <w:rPr>
                <w:sz w:val="24"/>
                <w:szCs w:val="24"/>
              </w:rPr>
              <w:t>).</w:t>
            </w:r>
          </w:p>
          <w:p>
            <w:pPr>
              <w:pStyle w:val="Normal"/>
              <w:spacing w:lineRule="auto" w:line="240" w:before="0" w:after="0"/>
              <w:ind w:firstLine="311"/>
              <w:jc w:val="both"/>
              <w:rPr>
                <w:rFonts w:ascii="Times New Roman" w:hAnsi="Times New Roman"/>
                <w:sz w:val="24"/>
                <w:szCs w:val="24"/>
                <w:highlight w:val="none"/>
              </w:rPr>
            </w:pPr>
            <w:r>
              <w:rPr>
                <w:sz w:val="24"/>
                <w:szCs w:val="24"/>
              </w:rPr>
            </w:r>
          </w:p>
          <w:p>
            <w:pPr>
              <w:pStyle w:val="Normal"/>
              <w:spacing w:lineRule="auto" w:line="240" w:before="0" w:after="0"/>
              <w:ind w:firstLine="283"/>
              <w:jc w:val="both"/>
              <w:rPr/>
            </w:pPr>
            <w:r>
              <w:rPr>
                <w:color w:val="000000"/>
                <w:spacing w:val="-6"/>
                <w:sz w:val="24"/>
                <w:szCs w:val="24"/>
              </w:rPr>
              <w:t>На Участке произрастает 67 деревьев пород – тополь 9 шт., ива 37 шт., клен ясенелистный 11 шт., береза 10 шт. Необходимо использовать Участок в соответствии</w:t>
              <w:br/>
              <w:t xml:space="preserve">с перечнем мероприятий по охране окружающей среды </w:t>
              <w:br/>
              <w:t>№ 230 от 01.08.2025 (прилагается).</w:t>
            </w:r>
          </w:p>
          <w:p>
            <w:pPr>
              <w:pStyle w:val="Normal"/>
              <w:spacing w:lineRule="auto" w:line="240" w:before="0" w:after="0"/>
              <w:ind w:firstLine="311"/>
              <w:jc w:val="both"/>
              <w:rPr>
                <w:rFonts w:ascii="Times New Roman" w:hAnsi="Times New Roman"/>
                <w:sz w:val="24"/>
                <w:szCs w:val="24"/>
                <w:highlight w:val="none"/>
              </w:rPr>
            </w:pPr>
            <w:r>
              <w:rPr>
                <w:sz w:val="24"/>
                <w:szCs w:val="24"/>
              </w:rPr>
              <w:t xml:space="preserve">(Аналогичная информация отражена в письме </w:t>
            </w:r>
            <w:r>
              <w:rPr>
                <w:b/>
                <w:bCs/>
                <w:color w:val="000000"/>
                <w:spacing w:val="-6"/>
                <w:sz w:val="24"/>
                <w:szCs w:val="24"/>
              </w:rPr>
              <w:t xml:space="preserve">управления по </w:t>
            </w:r>
            <w:r>
              <w:rPr>
                <w:b/>
                <w:color w:val="000000"/>
                <w:spacing w:val="-6"/>
                <w:sz w:val="24"/>
                <w:szCs w:val="24"/>
              </w:rPr>
              <w:t xml:space="preserve">экологии и природопользования администрации города Перми </w:t>
            </w:r>
            <w:r>
              <w:rPr>
                <w:color w:val="000000"/>
                <w:spacing w:val="-6"/>
                <w:sz w:val="24"/>
                <w:szCs w:val="24"/>
              </w:rPr>
              <w:t>от 01.08.2025 № 059-33-01-10/3-526</w:t>
            </w:r>
            <w:r>
              <w:rPr>
                <w:sz w:val="24"/>
                <w:szCs w:val="24"/>
              </w:rPr>
              <w:t>).</w:t>
            </w:r>
          </w:p>
          <w:p>
            <w:pPr>
              <w:pStyle w:val="Normal"/>
              <w:spacing w:lineRule="auto" w:line="240" w:before="0" w:after="0"/>
              <w:ind w:firstLine="311"/>
              <w:jc w:val="both"/>
              <w:rPr>
                <w:rFonts w:ascii="Times New Roman" w:hAnsi="Times New Roman"/>
                <w:sz w:val="24"/>
                <w:szCs w:val="24"/>
                <w:highlight w:val="none"/>
              </w:rPr>
            </w:pPr>
            <w:r>
              <w:rPr>
                <w:sz w:val="24"/>
                <w:szCs w:val="24"/>
              </w:rPr>
            </w:r>
          </w:p>
          <w:p>
            <w:pPr>
              <w:pStyle w:val="Normal"/>
              <w:spacing w:lineRule="auto" w:line="240" w:before="0" w:after="0"/>
              <w:ind w:firstLine="283"/>
              <w:jc w:val="both"/>
              <w:rPr>
                <w:rFonts w:ascii="Times New Roman" w:hAnsi="Times New Roman"/>
                <w:color w:val="000000"/>
                <w:spacing w:val="-6"/>
                <w:sz w:val="24"/>
                <w:szCs w:val="24"/>
              </w:rPr>
            </w:pPr>
            <w:r>
              <w:rPr>
                <w:spacing w:val="-6"/>
                <w:szCs w:val="24"/>
              </w:rPr>
              <w:t xml:space="preserve">Согласно </w:t>
            </w:r>
            <w:r>
              <w:rPr>
                <w:b/>
                <w:spacing w:val="-6"/>
                <w:szCs w:val="24"/>
              </w:rPr>
              <w:t xml:space="preserve">протоколу заседания координационного совещания по обеспечению правопорядка в Пермском крае от 16.03.2022 №74-гс </w:t>
            </w:r>
            <w:r>
              <w:rPr>
                <w:spacing w:val="-6"/>
                <w:szCs w:val="24"/>
              </w:rPr>
              <w:t>для строительства объектов городской инфраструктуры (парков, скверов, торгово-развлекательных комплексов, иных зданий и сооружений) обязательным является условие по установке камер видеонаблюдения.</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29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color w:val="000000"/>
                <w:sz w:val="24"/>
                <w:szCs w:val="24"/>
                <w:highlight w:val="white"/>
                <w:lang w:val="en-US"/>
              </w:rPr>
              <w:t>Строительство объектов капитального строительства не предусмотрено</w:t>
            </w:r>
          </w:p>
        </w:tc>
      </w:tr>
      <w:tr>
        <w:trPr>
          <w:trHeight w:val="2820"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294" w:type="dxa"/>
            <w:tcBorders>
              <w:top w:val="single" w:sz="4" w:space="0" w:color="000000"/>
              <w:left w:val="single" w:sz="4" w:space="0" w:color="000000"/>
              <w:bottom w:val="single" w:sz="4" w:space="0" w:color="000000"/>
              <w:right w:val="single" w:sz="4" w:space="0" w:color="000000"/>
            </w:tcBorders>
          </w:tcPr>
          <w:p>
            <w:pPr>
              <w:pStyle w:val="Normal"/>
              <w:ind w:firstLine="252"/>
              <w:jc w:val="both"/>
              <w:rPr>
                <w:highlight w:val="none"/>
              </w:rPr>
            </w:pPr>
            <w:r>
              <w:rPr/>
            </w:r>
          </w:p>
          <w:p>
            <w:pPr>
              <w:pStyle w:val="Normal"/>
              <w:ind w:firstLine="312"/>
              <w:jc w:val="both"/>
              <w:rPr>
                <w:sz w:val="24"/>
                <w:szCs w:val="24"/>
                <w:highlight w:val="none"/>
              </w:rPr>
            </w:pPr>
            <w:r>
              <w:rPr>
                <w:b w:val="false"/>
                <w:bCs w:val="false"/>
                <w:color w:val="000000"/>
                <w:sz w:val="24"/>
                <w:szCs w:val="24"/>
                <w:highlight w:val="white"/>
                <w:lang w:val="en-US"/>
              </w:rPr>
              <w:t>Строительство объектов капитального строительства не предусмотрено</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60"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jc w:val="left"/>
              <w:rPr/>
            </w:pPr>
            <w:r>
              <w:rPr>
                <w:b w:val="false"/>
                <w:bCs w:val="false"/>
                <w:sz w:val="24"/>
                <w:szCs w:val="24"/>
                <w:shd w:fill="auto" w:val="clear"/>
              </w:rPr>
              <w:t xml:space="preserve">По условиям пункта 4.3 проекта договора аренды земельного участка, приобретаемого на торгах в форме аукциона (Приложение 1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w:t>
              <w:br/>
              <w:t xml:space="preserve">(далее – ЗК РФ), обязан до подписания договора уплатить ежегодный размер арендной платы, указанный в п. 4.2 договора (за вычетом задатка, внесенного для участия в аукционе) </w:t>
            </w:r>
            <w:r>
              <w:rPr>
                <w:b/>
                <w:bCs w:val="false"/>
                <w:color w:val="000000"/>
                <w:sz w:val="24"/>
                <w:szCs w:val="24"/>
                <w:shd w:fill="auto" w:val="clear"/>
              </w:rPr>
              <w:t xml:space="preserve">однократно за первые 3 года </w:t>
            </w:r>
            <w:r>
              <w:rPr>
                <w:b w:val="false"/>
                <w:bCs w:val="false"/>
                <w:sz w:val="24"/>
                <w:szCs w:val="24"/>
                <w:shd w:fill="auto" w:val="clear"/>
              </w:rPr>
              <w:t>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аренды земельного участка (Приложение 1 к настоящему Извещению)</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8"/>
              </w:rPr>
              <w:t>4 762 400</w:t>
            </w:r>
            <w:r>
              <w:rPr>
                <w:sz w:val="24"/>
                <w:szCs w:val="24"/>
              </w:rPr>
              <w:t xml:space="preserve">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60"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8"/>
              </w:rPr>
              <w:t>238 120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color w:val="000000"/>
                <w:sz w:val="24"/>
                <w:szCs w:val="24"/>
                <w:shd w:fill="auto" w:val="clear"/>
              </w:rPr>
              <w:t xml:space="preserve">Решение о проведении аукциона принято </w:t>
              <w:br/>
              <w:t>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60"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8"/>
              </w:rPr>
              <w:t>2 381 200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60"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29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60"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является 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sz w:val="24"/>
                <w:szCs w:val="24"/>
              </w:rPr>
            </w:pPr>
            <w:r>
              <w:rPr>
                <w:sz w:val="24"/>
                <w:szCs w:val="24"/>
              </w:rPr>
              <w:t xml:space="preserve">Порядок осмотра земельного участка </w:t>
              <w:br/>
              <w:t>на местности</w:t>
            </w:r>
          </w:p>
        </w:tc>
        <w:tc>
          <w:tcPr>
            <w:tcW w:w="629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spacing w:lineRule="exact" w:line="240"/>
        <w:ind w:hanging="1134" w:left="1134"/>
        <w:jc w:val="center"/>
        <w:rPr>
          <w:b/>
          <w:lang w:val="ru-RU"/>
        </w:rPr>
      </w:pPr>
      <w:r>
        <w:rPr>
          <w:b/>
          <w:lang w:val="ru-RU"/>
        </w:rPr>
      </w:r>
    </w:p>
    <w:p>
      <w:pPr>
        <w:pStyle w:val="Normal"/>
        <w:widowControl w:val="false"/>
        <w:spacing w:before="0" w:after="0"/>
        <w:ind w:left="567"/>
        <w:contextualSpacing/>
        <w:jc w:val="center"/>
        <w:rPr>
          <w:rFonts w:eastAsia="Courier New"/>
          <w:b/>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01.11.2025</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25.11.2025</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26.11.2025.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27.11</w:t>
      </w:r>
      <w:r>
        <w:rPr>
          <w:rFonts w:eastAsia="Courier New"/>
          <w:b/>
          <w:lang w:bidi="ru-RU"/>
        </w:rPr>
        <w:t>.2025</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10"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01.11.2025 по 25.11.2025.</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w:t>
        <w:br/>
        <w:t xml:space="preserve">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w:t>
        <w:br/>
        <w:t xml:space="preserve">на участие в аукционе может принять решение о продлении срока подачи заявок в соответствии </w:t>
        <w:br/>
        <w:t>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w:t>
        <w:br/>
        <w:t xml:space="preserve">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 xml:space="preserve">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w:t>
        <w:br/>
        <w:t>его участникам.</w:t>
      </w:r>
    </w:p>
    <w:p>
      <w:pPr>
        <w:pStyle w:val="Normal"/>
        <w:widowControl w:val="false"/>
        <w:ind w:firstLine="567" w:left="-567"/>
        <w:jc w:val="both"/>
        <w:rPr>
          <w:highlight w:val="none"/>
          <w:shd w:fill="auto" w:val="clear"/>
        </w:rPr>
      </w:pPr>
      <w:r>
        <w:rPr>
          <w:shd w:fill="auto" w:val="clear"/>
        </w:rPr>
        <w:t xml:space="preserve">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w:t>
        <w:br/>
        <w:t>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01.11.2025 по 25.11.2025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kern w:val="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Заявитель заполняет электронную форму заявки, при</w:t>
      </w:r>
      <w:r>
        <w:rPr>
          <w:shd w:fill="auto" w:val="clear"/>
        </w:rPr>
        <w:t>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rPr>
      </w:pPr>
      <w:r>
        <w:rPr/>
      </w:r>
    </w:p>
    <w:p>
      <w:pPr>
        <w:pStyle w:val="Normal"/>
        <w:jc w:val="center"/>
        <w:rPr>
          <w:b/>
          <w:bCs/>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w:t>
        <w:br/>
        <w:t xml:space="preserve">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w:t>
        <w:br/>
        <w:t xml:space="preserve">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w:t>
        <w:br/>
        <w:t>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 xml:space="preserve">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w:t>
        <w:br/>
        <w:t>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w:t>
        <w:br/>
        <w:t>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 </w:t>
        <w:br/>
        <w:t>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По результатам проведения аукциона договор аренды земельного участка заключается </w:t>
        <w:br/>
        <w:t>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 договора является частью извещения и представлен в Приложении 1  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11"/>
      <w:headerReference w:type="first" r:id="rId12"/>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Segoe UI">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14</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character" w:styleId="Style19">
    <w:name w:val="Основной текст Знак"/>
    <w:qFormat/>
    <w:rPr>
      <w:rFonts w:ascii="Courier New" w:hAnsi="Courier New" w:cs="Courier New"/>
      <w:sz w:val="26"/>
    </w:rPr>
  </w:style>
  <w:style w:type="character" w:styleId="Style20">
    <w:name w:val="Текст выноски Знак"/>
    <w:qFormat/>
    <w:rPr>
      <w:rFonts w:ascii="Segoe UI" w:hAnsi="Segoe UI" w:cs="Segoe UI"/>
      <w:sz w:val="18"/>
      <w:szCs w:val="18"/>
    </w:rPr>
  </w:style>
  <w:style w:type="character" w:styleId="Style21">
    <w:name w:val="Основной шрифт абзаца"/>
    <w:qFormat/>
    <w:rPr/>
  </w:style>
  <w:style w:type="character" w:styleId="WW8Num1z0">
    <w:name w:val="WW8Num1z0"/>
    <w:qFormat/>
    <w:rPr/>
  </w:style>
  <w:style w:type="paragraph" w:styleId="Style22">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3">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22"/>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4"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5"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paragraph" w:styleId="32">
    <w:name w:val="Основной текст с отступом 3"/>
    <w:basedOn w:val="Normal"/>
    <w:qFormat/>
    <w:pPr>
      <w:widowControl/>
      <w:spacing w:before="0" w:after="120"/>
      <w:ind w:left="283"/>
      <w:jc w:val="left"/>
    </w:pPr>
    <w:rPr>
      <w:color w:val="auto"/>
      <w:sz w:val="16"/>
      <w:szCs w:val="16"/>
      <w:lang w:val="ru-RU" w:eastAsia="zh-CN" w:bidi="ar-SA"/>
    </w:rPr>
  </w:style>
  <w:style w:type="paragraph" w:styleId="Style28">
    <w:name w:val="Форма"/>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zh-CN" w:bidi="ar-SA"/>
    </w:rPr>
  </w:style>
  <w:style w:type="paragraph" w:styleId="Style29">
    <w:name w:val="Текст выноски"/>
    <w:basedOn w:val="Normal"/>
    <w:qFormat/>
    <w:pPr>
      <w:widowControl/>
      <w:spacing w:before="0" w:after="0"/>
      <w:jc w:val="left"/>
    </w:pPr>
    <w:rPr>
      <w:rFonts w:ascii="Segoe UI" w:hAnsi="Segoe UI" w:cs="Segoe UI"/>
      <w:color w:val="auto"/>
      <w:sz w:val="18"/>
      <w:szCs w:val="18"/>
      <w:lang w:val="en-US" w:eastAsia="zh-CN" w:bidi="ar-SA"/>
    </w:rPr>
  </w:style>
  <w:style w:type="paragraph" w:styleId="Style30">
    <w:name w:val="Название объекта"/>
    <w:basedOn w:val="Normal"/>
    <w:qFormat/>
    <w:pPr>
      <w:widowControl w:val="false"/>
      <w:spacing w:lineRule="exact" w:line="360" w:before="0" w:after="0"/>
      <w:jc w:val="center"/>
    </w:pPr>
    <w:rPr>
      <w:b/>
      <w:color w:val="auto"/>
      <w:sz w:val="32"/>
      <w:lang w:val="ru-RU" w:eastAsia="zh-CN" w:bidi="ar-SA"/>
    </w:rPr>
  </w:style>
  <w:style w:type="paragraph" w:styleId="Caption1111">
    <w:name w:val="Caption1111"/>
    <w:basedOn w:val="Normal"/>
    <w:qFormat/>
    <w:pPr>
      <w:widowControl/>
      <w:spacing w:before="120" w:after="120"/>
      <w:jc w:val="left"/>
    </w:pPr>
    <w:rPr>
      <w:rFonts w:cs="Lohit Devanagari"/>
      <w:i/>
      <w:iCs/>
      <w:color w:val="auto"/>
      <w:sz w:val="24"/>
      <w:szCs w:val="24"/>
      <w:lang w:val="ru-RU" w:eastAsia="zh-CN" w:bidi="ar-SA"/>
    </w:rPr>
  </w:style>
  <w:style w:type="paragraph" w:styleId="Caption111">
    <w:name w:val="Caption111"/>
    <w:basedOn w:val="Normal"/>
    <w:qFormat/>
    <w:pPr>
      <w:widowControl/>
      <w:spacing w:before="120" w:after="120"/>
      <w:jc w:val="left"/>
    </w:pPr>
    <w:rPr>
      <w:rFonts w:cs="Lohit Devanagari"/>
      <w:i/>
      <w:iCs/>
      <w:color w:val="auto"/>
      <w:sz w:val="24"/>
      <w:szCs w:val="24"/>
      <w:lang w:val="ru-RU" w:eastAsia="zh-CN" w:bidi="ar-SA"/>
    </w:rPr>
  </w:style>
  <w:style w:type="paragraph" w:styleId="Caption11">
    <w:name w:val="Caption11"/>
    <w:basedOn w:val="Normal"/>
    <w:qFormat/>
    <w:pPr>
      <w:widowControl/>
      <w:spacing w:before="120" w:after="120"/>
      <w:jc w:val="left"/>
    </w:pPr>
    <w:rPr>
      <w:rFonts w:cs="Lohit Devanagari"/>
      <w:i/>
      <w:iCs/>
      <w:color w:val="auto"/>
      <w:sz w:val="24"/>
      <w:szCs w:val="24"/>
      <w:lang w:val="ru-RU" w:eastAsia="zh-CN" w:bidi="ar-SA"/>
    </w:rPr>
  </w:style>
  <w:style w:type="numbering" w:styleId="NoList" w:default="1">
    <w:name w:val="No List"/>
    <w:uiPriority w:val="99"/>
    <w:semiHidden/>
    <w:unhideWhenUsed/>
    <w:qFormat/>
  </w:style>
  <w:style w:type="table" w:styleId="832">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3">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4">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5">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6">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7">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8">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9">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40">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1">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2">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3">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4">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5">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6">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7">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8">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9">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50">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1">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2">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3">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60">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1">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2">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3">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4">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5">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6">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7">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8">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9">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70">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1">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2">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3">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4">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5">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6">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7">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8">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9">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1">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7">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8">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9">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90">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1">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2">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3">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4">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5">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6">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7">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8">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9">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00">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1">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2">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3">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4">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5">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6">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7">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8">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9">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10">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1">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2">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3">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4">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5">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6">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3">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4">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5">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6">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7">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8">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9">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30">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1">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2">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3">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4">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5">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6">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7">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8">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9">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0">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1">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2">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3">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4">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5">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6">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7">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8">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9">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50">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1">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2">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3">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4">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5">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6">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7">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8">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mailto:dzo@perm.permkrai.ru" TargetMode="External"/><Relationship Id="rId10" Type="http://schemas.openxmlformats.org/officeDocument/2006/relationships/hyperlink" Target="http://utp.sberbank-ast.ru/AP/Notice/653/Requisites"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332</TotalTime>
  <Application>LibreOffice/7.6.7.2$Linux_X86_64 LibreOffice_project/60$Build-2</Application>
  <AppVersion>15.0000</AppVersion>
  <Pages>14</Pages>
  <Words>4888</Words>
  <Characters>34617</Characters>
  <CharactersWithSpaces>39395</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Tatyannikova</dc:creator>
  <dc:description/>
  <dc:language>ru-RU</dc:language>
  <cp:lastModifiedBy/>
  <dcterms:modified xsi:type="dcterms:W3CDTF">2025-10-30T13:59:50Z</dcterms:modified>
  <cp:revision>255</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