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1134" w:left="1134" w:right="-261"/>
        <w:jc w:val="center"/>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PlainText"/>
        <w:ind w:hanging="1134" w:left="1134" w:right="-261"/>
        <w:jc w:val="center"/>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0"/>
        </w:numPr>
        <w:tabs>
          <w:tab w:val="clear" w:pos="708"/>
          <w:tab w:val="left" w:pos="4732" w:leader="none"/>
          <w:tab w:val="left" w:pos="5812" w:leader="none"/>
        </w:tabs>
        <w:spacing w:lineRule="exact" w:line="240"/>
        <w:ind w:firstLine="5670" w:left="0"/>
        <w:jc w:val="both"/>
        <w:outlineLvl w:val="5"/>
        <w:rPr>
          <w:sz w:val="28"/>
          <w:szCs w:val="28"/>
        </w:rPr>
      </w:pPr>
      <w:r>
        <w:rPr>
          <w:bCs/>
          <w:sz w:val="28"/>
          <w:szCs w:val="28"/>
        </w:rPr>
        <w:t>Приложение 2</w:t>
      </w:r>
    </w:p>
    <w:p>
      <w:pPr>
        <w:pStyle w:val="Normal"/>
        <w:tabs>
          <w:tab w:val="clear" w:pos="708"/>
          <w:tab w:val="left" w:pos="4732" w:leader="none"/>
        </w:tabs>
        <w:spacing w:lineRule="exact" w:line="240"/>
        <w:ind w:firstLine="6" w:left="5664"/>
        <w:rPr>
          <w:sz w:val="28"/>
          <w:szCs w:val="28"/>
        </w:rPr>
      </w:pPr>
      <w:r>
        <w:rPr>
          <w:sz w:val="28"/>
          <w:szCs w:val="28"/>
        </w:rPr>
        <w:t>к приказу начальника департамента имущественных отношений</w:t>
      </w:r>
    </w:p>
    <w:p>
      <w:pPr>
        <w:pStyle w:val="Normal"/>
        <w:tabs>
          <w:tab w:val="clear" w:pos="708"/>
          <w:tab w:val="left" w:pos="4732" w:leader="none"/>
        </w:tabs>
        <w:spacing w:lineRule="exact" w:line="240"/>
        <w:ind w:firstLine="5670"/>
        <w:rPr>
          <w:sz w:val="28"/>
          <w:szCs w:val="28"/>
        </w:rPr>
      </w:pPr>
      <w:r>
        <w:rPr>
          <w:sz w:val="28"/>
          <w:szCs w:val="28"/>
        </w:rPr>
        <w:t>администрации города Перми</w:t>
      </w:r>
    </w:p>
    <w:p>
      <w:pPr>
        <w:pStyle w:val="Normal"/>
        <w:tabs>
          <w:tab w:val="clear" w:pos="708"/>
          <w:tab w:val="left" w:pos="4732" w:leader="none"/>
        </w:tabs>
        <w:spacing w:lineRule="exact" w:line="240"/>
        <w:ind w:firstLine="5670"/>
        <w:rPr>
          <w:sz w:val="28"/>
          <w:szCs w:val="28"/>
        </w:rPr>
      </w:pPr>
      <w:r>
        <w:rPr>
          <w:sz w:val="28"/>
          <w:szCs w:val="28"/>
        </w:rPr>
        <w:t xml:space="preserve">от </w:t>
      </w:r>
      <w:r>
        <w:rPr>
          <w:sz w:val="28"/>
          <w:szCs w:val="28"/>
        </w:rPr>
        <w:t>30.10.2025 № 059-19-01-11-164</w:t>
      </w:r>
    </w:p>
    <w:p>
      <w:pPr>
        <w:pStyle w:val="Normal"/>
        <w:tabs>
          <w:tab w:val="clear" w:pos="708"/>
          <w:tab w:val="left" w:pos="4732" w:leader="none"/>
        </w:tabs>
        <w:ind w:left="283"/>
        <w:jc w:val="center"/>
        <w:rPr>
          <w:sz w:val="28"/>
          <w:szCs w:val="28"/>
        </w:rPr>
      </w:pPr>
      <w:r>
        <w:rPr>
          <w:sz w:val="28"/>
          <w:szCs w:val="28"/>
        </w:rPr>
      </w:r>
    </w:p>
    <w:p>
      <w:pPr>
        <w:pStyle w:val="Normal"/>
        <w:tabs>
          <w:tab w:val="clear" w:pos="708"/>
          <w:tab w:val="left" w:pos="4732" w:leader="none"/>
        </w:tabs>
        <w:ind w:left="283"/>
        <w:jc w:val="center"/>
        <w:rPr>
          <w:b/>
          <w:sz w:val="28"/>
          <w:szCs w:val="28"/>
        </w:rPr>
      </w:pPr>
      <w:r>
        <w:rPr>
          <w:b/>
          <w:sz w:val="28"/>
          <w:szCs w:val="28"/>
        </w:rPr>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Извещение о проведении 04.12.2025 электронных аукционов на право заключения договоров аренды земельных участков</w:t>
      </w:r>
    </w:p>
    <w:p>
      <w:pPr>
        <w:pStyle w:val="PlainText"/>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widowControl w:val="false"/>
        <w:ind w:firstLine="567" w:left="-567"/>
        <w:jc w:val="both"/>
        <w:rPr>
          <w:b/>
          <w:bCs/>
        </w:rPr>
      </w:pPr>
      <w:r>
        <w:rPr>
          <w:shd w:fill="FFFFFF" w:val="clear"/>
        </w:rPr>
        <w:t xml:space="preserve">Электронные аукционы на право заключения договоров аренды земельных участков </w:t>
        <w:br/>
        <w:t xml:space="preserve">(далее – аукцион) проводятся в соответствии со статьями 39.11, 39.12, 39.13, 39.18 Земельного кодекса Российской Федерации, Положением о департаменте имущественных отношений администрации города Перми, утвержденным решением Пермской городской Думы от 12 сентября 2006 г. № 210, постановлением администрации города Перми от 20 ноября 2008 г. № 1089                       «О комиссии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w:t>
      </w:r>
      <w:r>
        <w:rPr>
          <w:rFonts w:eastAsia="Droid Sans Fallback" w:cs="Lohit Devanagari"/>
          <w:color w:val="000000"/>
          <w:sz w:val="24"/>
          <w:szCs w:val="24"/>
          <w:shd w:fill="FFFFFF" w:val="clear"/>
          <w:lang w:val="ru-RU" w:eastAsia="zh-CN" w:bidi="ar-SA"/>
        </w:rPr>
        <w:t>и участков, собственность на которые не разграничена» (далее – комиссия), регламентом работы электронной площадки АО «Сбербанк-АСТ», регламентом работы торговой секции АО «Сбербанк-АСТ».</w:t>
      </w:r>
    </w:p>
    <w:p>
      <w:pPr>
        <w:pStyle w:val="Normal"/>
        <w:numPr>
          <w:ilvl w:val="0"/>
          <w:numId w:val="0"/>
        </w:numPr>
        <w:tabs>
          <w:tab w:val="clear" w:pos="708"/>
          <w:tab w:val="left" w:pos="9355" w:leader="none"/>
        </w:tabs>
        <w:ind w:firstLine="567" w:left="-567"/>
        <w:jc w:val="both"/>
        <w:outlineLvl w:val="0"/>
        <w:rPr>
          <w:b/>
          <w:bCs/>
        </w:rPr>
      </w:pPr>
      <w:r>
        <w:rPr>
          <w:b/>
          <w:bCs/>
        </w:rPr>
        <w:t xml:space="preserve">Орган, принявший решение о проведении аукциона: </w:t>
      </w:r>
      <w:r>
        <w:rPr>
          <w:bCs/>
        </w:rPr>
        <w:t xml:space="preserve">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212-33-48 (аналитический отдел), адрес электронной почты: </w:t>
      </w:r>
      <w:r>
        <w:rPr>
          <w:rStyle w:val="Hyperlink"/>
          <w:bCs/>
          <w:sz w:val="24"/>
          <w:szCs w:val="24"/>
          <w:lang w:val="en-US"/>
        </w:rPr>
        <w:t>dzo@perm.permkrai.ru.</w:t>
      </w:r>
    </w:p>
    <w:p>
      <w:pPr>
        <w:pStyle w:val="Normal"/>
        <w:numPr>
          <w:ilvl w:val="0"/>
          <w:numId w:val="0"/>
        </w:numPr>
        <w:tabs>
          <w:tab w:val="clear" w:pos="708"/>
          <w:tab w:val="left" w:pos="9355" w:leader="none"/>
        </w:tabs>
        <w:ind w:firstLine="567" w:left="-567"/>
        <w:jc w:val="both"/>
        <w:outlineLvl w:val="0"/>
        <w:rPr>
          <w:b/>
          <w:bCs/>
          <w:sz w:val="24"/>
          <w:szCs w:val="24"/>
        </w:rPr>
      </w:pPr>
      <w:r>
        <w:rPr>
          <w:b/>
          <w:bCs/>
        </w:rPr>
        <w:t xml:space="preserve">Организатор аукциона </w:t>
      </w:r>
      <w:r>
        <w:rPr>
          <w:bCs/>
        </w:rPr>
        <w:t>(далее – Организатор аукциона)</w:t>
      </w:r>
      <w:r>
        <w:rPr>
          <w:b/>
          <w:bCs/>
        </w:rPr>
        <w:t xml:space="preserve">: </w:t>
      </w:r>
      <w:r>
        <w:rPr>
          <w:bCs/>
        </w:rPr>
        <w:t>департамент имущественных отношений администрации города Перми, местонахождение: 614015, г. Пермь, ул. Сибирская,14, почтовый адрес: 614015, г. Пермь, ул. Сибирская,14, телефон 212-77-24 (отдел по распоряжению муниципальным имуществом), адрес электронной почты:</w:t>
      </w:r>
      <w:r>
        <w:rPr>
          <w:b/>
          <w:bCs/>
        </w:rPr>
        <w:t xml:space="preserve"> </w:t>
      </w:r>
      <w:r>
        <w:rPr>
          <w:sz w:val="24"/>
          <w:szCs w:val="24"/>
          <w:lang w:val="en-US"/>
        </w:rPr>
        <w:t>dio</w:t>
      </w:r>
      <w:r>
        <w:rPr>
          <w:sz w:val="24"/>
          <w:szCs w:val="24"/>
        </w:rPr>
        <w:t>@</w:t>
      </w:r>
      <w:r>
        <w:rPr>
          <w:sz w:val="24"/>
          <w:szCs w:val="24"/>
          <w:lang w:val="en-US"/>
        </w:rPr>
        <w:t>perm</w:t>
      </w:r>
      <w:r>
        <w:rPr>
          <w:sz w:val="24"/>
          <w:szCs w:val="24"/>
        </w:rPr>
        <w:t>.</w:t>
      </w:r>
      <w:r>
        <w:rPr>
          <w:sz w:val="24"/>
          <w:szCs w:val="24"/>
          <w:lang w:val="en-US"/>
        </w:rPr>
        <w:t>permkrai</w:t>
      </w:r>
      <w:r>
        <w:rPr>
          <w:sz w:val="24"/>
          <w:szCs w:val="24"/>
        </w:rPr>
        <w:t>.</w:t>
      </w:r>
      <w:r>
        <w:rPr>
          <w:sz w:val="24"/>
          <w:szCs w:val="24"/>
          <w:lang w:val="en-US"/>
        </w:rPr>
        <w:t>ru</w:t>
      </w:r>
      <w:r>
        <w:rPr>
          <w:b/>
          <w:bCs/>
          <w:sz w:val="24"/>
          <w:szCs w:val="24"/>
        </w:rPr>
        <w:t>.</w:t>
      </w:r>
    </w:p>
    <w:p>
      <w:pPr>
        <w:pStyle w:val="Normal"/>
        <w:numPr>
          <w:ilvl w:val="0"/>
          <w:numId w:val="0"/>
        </w:numPr>
        <w:tabs>
          <w:tab w:val="clear" w:pos="708"/>
          <w:tab w:val="left" w:pos="9355" w:leader="none"/>
        </w:tabs>
        <w:ind w:firstLine="567" w:left="-567"/>
        <w:jc w:val="both"/>
        <w:outlineLvl w:val="0"/>
        <w:rPr>
          <w:sz w:val="24"/>
          <w:szCs w:val="24"/>
        </w:rPr>
      </w:pPr>
      <w:r>
        <w:rPr>
          <w:b/>
          <w:bCs/>
        </w:rPr>
        <w:t>Реквизиты приказа об организации проведения аукциона:</w:t>
      </w:r>
      <w:r>
        <w:rPr>
          <w:bCs/>
        </w:rPr>
        <w:t xml:space="preserve"> приказ начальника департамента имущественных отношений администрации города Перми от</w:t>
      </w:r>
      <w:r>
        <w:rPr>
          <w:bCs/>
          <w:sz w:val="20"/>
          <w:szCs w:val="24"/>
        </w:rPr>
        <w:t xml:space="preserve"> </w:t>
      </w:r>
      <w:r>
        <w:rPr>
          <w:bCs/>
          <w:sz w:val="24"/>
          <w:szCs w:val="28"/>
        </w:rPr>
        <w:t>30.10.2025 № 059-19-01-11-164.</w:t>
      </w:r>
    </w:p>
    <w:p>
      <w:pPr>
        <w:pStyle w:val="BodyTextIndent3"/>
        <w:numPr>
          <w:ilvl w:val="0"/>
          <w:numId w:val="0"/>
        </w:numPr>
        <w:spacing w:before="0" w:after="0"/>
        <w:ind w:firstLine="567" w:left="-567"/>
        <w:jc w:val="both"/>
        <w:outlineLvl w:val="0"/>
        <w:rPr>
          <w:rFonts w:eastAsia="Courier New"/>
          <w:b/>
          <w:color w:val="000000"/>
          <w:lang w:val="ru-RU" w:bidi="ru-RU"/>
        </w:rPr>
      </w:pPr>
      <w:r>
        <w:rPr>
          <w:sz w:val="24"/>
          <w:szCs w:val="24"/>
          <w:lang w:val="ru-RU"/>
        </w:rPr>
        <w:t xml:space="preserve">Извещение о проведение электронных аукционов размещается на официальном сайте Российской Федерации для размещения информации о проведении торгов </w:t>
      </w:r>
      <w:hyperlink r:id="rId2" w:tgtFrame="http://www.torgi.gov.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torgi</w:t>
        </w:r>
        <w:r>
          <w:rPr>
            <w:rStyle w:val="Hyperlink"/>
            <w:color w:val="000000"/>
            <w:sz w:val="24"/>
            <w:szCs w:val="24"/>
            <w:u w:val="none"/>
            <w:lang w:val="ru-RU"/>
          </w:rPr>
          <w:t>.</w:t>
        </w:r>
        <w:r>
          <w:rPr>
            <w:rStyle w:val="Hyperlink"/>
            <w:color w:val="000000"/>
            <w:sz w:val="24"/>
            <w:szCs w:val="24"/>
            <w:u w:val="none"/>
          </w:rPr>
          <w:t>gov</w:t>
        </w:r>
        <w:r>
          <w:rPr>
            <w:rStyle w:val="Hyperlink"/>
            <w:color w:val="000000"/>
            <w:sz w:val="24"/>
            <w:szCs w:val="24"/>
            <w:u w:val="none"/>
            <w:lang w:val="ru-RU"/>
          </w:rPr>
          <w:t>.</w:t>
        </w:r>
        <w:r>
          <w:rPr>
            <w:rStyle w:val="Hyperlink"/>
            <w:color w:val="000000"/>
            <w:sz w:val="24"/>
            <w:szCs w:val="24"/>
            <w:u w:val="none"/>
          </w:rPr>
          <w:t>ru</w:t>
        </w:r>
      </w:hyperlink>
      <w:r>
        <w:rPr>
          <w:color w:val="000000"/>
          <w:sz w:val="24"/>
          <w:szCs w:val="24"/>
          <w:u w:val="none"/>
        </w:rPr>
        <w:t xml:space="preserve"> (далее – ГИС Торги)</w:t>
      </w:r>
      <w:r>
        <w:rPr>
          <w:b/>
          <w:sz w:val="24"/>
          <w:szCs w:val="24"/>
          <w:lang w:val="ru-RU"/>
        </w:rPr>
        <w:t>,</w:t>
      </w:r>
      <w:r>
        <w:rPr>
          <w:b/>
          <w:lang w:val="ru-RU"/>
        </w:rPr>
        <w:t xml:space="preserve"> </w:t>
      </w:r>
      <w:r>
        <w:rPr>
          <w:sz w:val="24"/>
          <w:szCs w:val="24"/>
          <w:lang w:val="ru-RU"/>
        </w:rPr>
        <w:t xml:space="preserve">официальном сайте муниципального образования город Пермь в информационно-телекоммуникационной сети «Интернет» </w:t>
      </w:r>
      <w:hyperlink r:id="rId3" w:tgtFrame="http://www.gorodperm.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gorodperm</w:t>
        </w:r>
        <w:r>
          <w:rPr>
            <w:rStyle w:val="Hyperlink"/>
            <w:color w:val="000000"/>
            <w:sz w:val="24"/>
            <w:szCs w:val="24"/>
            <w:u w:val="none"/>
            <w:lang w:val="ru-RU"/>
          </w:rPr>
          <w:t>.</w:t>
        </w:r>
        <w:r>
          <w:rPr>
            <w:rStyle w:val="Hyperlink"/>
            <w:color w:val="000000"/>
            <w:sz w:val="24"/>
            <w:szCs w:val="24"/>
            <w:u w:val="none"/>
          </w:rPr>
          <w:t>ru</w:t>
        </w:r>
      </w:hyperlink>
      <w:r>
        <w:rPr>
          <w:sz w:val="24"/>
          <w:szCs w:val="24"/>
          <w:lang w:val="ru-RU"/>
        </w:rPr>
        <w:t xml:space="preserve"> и на электронной </w:t>
      </w:r>
      <w:r>
        <w:rPr>
          <w:bCs/>
          <w:sz w:val="24"/>
          <w:szCs w:val="24"/>
          <w:lang w:val="ru-RU" w:bidi="ru-RU"/>
        </w:rPr>
        <w:t xml:space="preserve">площадке </w:t>
      </w:r>
      <w:hyperlink r:id="rId4" w:tgtFrame="http://utp.sberbank-ast.ru/">
        <w:r>
          <w:rPr>
            <w:rStyle w:val="Hyperlink"/>
            <w:sz w:val="24"/>
            <w:szCs w:val="24"/>
          </w:rPr>
          <w:t>http</w:t>
        </w:r>
        <w:r>
          <w:rPr>
            <w:rStyle w:val="Hyperlink"/>
            <w:sz w:val="24"/>
            <w:szCs w:val="24"/>
            <w:lang w:val="ru-RU"/>
          </w:rPr>
          <w:t>://</w:t>
        </w:r>
        <w:r>
          <w:rPr>
            <w:rStyle w:val="Hyperlink"/>
            <w:sz w:val="24"/>
            <w:szCs w:val="24"/>
          </w:rPr>
          <w:t>utp</w:t>
        </w:r>
        <w:r>
          <w:rPr>
            <w:rStyle w:val="Hyperlink"/>
            <w:sz w:val="24"/>
            <w:szCs w:val="24"/>
            <w:lang w:val="ru-RU"/>
          </w:rPr>
          <w:t>.</w:t>
        </w:r>
        <w:r>
          <w:rPr>
            <w:rStyle w:val="Hyperlink"/>
            <w:sz w:val="24"/>
            <w:szCs w:val="24"/>
          </w:rPr>
          <w:t>sberbank</w:t>
        </w:r>
        <w:r>
          <w:rPr>
            <w:rStyle w:val="Hyperlink"/>
            <w:sz w:val="24"/>
            <w:szCs w:val="24"/>
            <w:lang w:val="ru-RU"/>
          </w:rPr>
          <w:t>-</w:t>
        </w:r>
        <w:r>
          <w:rPr>
            <w:rStyle w:val="Hyperlink"/>
            <w:sz w:val="24"/>
            <w:szCs w:val="24"/>
          </w:rPr>
          <w:t>ast</w:t>
        </w:r>
        <w:r>
          <w:rPr>
            <w:rStyle w:val="Hyperlink"/>
            <w:sz w:val="24"/>
            <w:szCs w:val="24"/>
            <w:lang w:val="ru-RU"/>
          </w:rPr>
          <w:t>.</w:t>
        </w:r>
        <w:r>
          <w:rPr>
            <w:rStyle w:val="Hyperlink"/>
            <w:sz w:val="24"/>
            <w:szCs w:val="24"/>
          </w:rPr>
          <w:t>ru</w:t>
        </w:r>
      </w:hyperlink>
      <w:r>
        <w:rPr>
          <w:bCs/>
          <w:sz w:val="24"/>
          <w:szCs w:val="24"/>
          <w:lang w:val="ru-RU" w:bidi="ru-RU"/>
        </w:rPr>
        <w:t>.</w:t>
      </w:r>
    </w:p>
    <w:p>
      <w:pPr>
        <w:pStyle w:val="Normal"/>
        <w:widowControl w:val="false"/>
        <w:ind w:firstLine="567" w:left="-567"/>
        <w:jc w:val="both"/>
        <w:rPr>
          <w:rFonts w:eastAsia="Courier New"/>
          <w:b/>
          <w:color w:val="000000"/>
          <w:lang w:eastAsia="en-US" w:bidi="ru-RU"/>
        </w:rPr>
      </w:pPr>
      <w:r>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Pr>
          <w:rFonts w:eastAsia="Courier New"/>
          <w:color w:val="000000"/>
          <w:lang w:bidi="ru-RU"/>
        </w:rPr>
        <w:t>:</w:t>
      </w:r>
      <w:r>
        <w:rPr>
          <w:rFonts w:eastAsia="Courier New" w:cs="Courier New" w:ascii="Courier New" w:hAnsi="Courier New"/>
          <w:color w:val="000000"/>
          <w:lang w:bidi="ru-RU"/>
        </w:rPr>
        <w:t xml:space="preserve"> </w:t>
      </w:r>
      <w:hyperlink r:id="rId5" w:tgtFrame="http://utp.sberbank-ast.ru/">
        <w:r>
          <w:rPr>
            <w:rStyle w:val="Hyperlink"/>
          </w:rPr>
          <w:t>http://utp.sberbank-ast.ru</w:t>
        </w:r>
      </w:hyperlink>
      <w:r>
        <w:rPr>
          <w:rFonts w:eastAsia="Courier New"/>
          <w:lang w:bidi="ru-RU"/>
        </w:rPr>
        <w:t xml:space="preserve"> </w:t>
        <w:br/>
      </w:r>
      <w:r>
        <w:rPr>
          <w:rFonts w:eastAsia="Courier New"/>
          <w:color w:val="000000"/>
          <w:lang w:bidi="ru-RU"/>
        </w:rPr>
        <w:t xml:space="preserve">(далее – электронная площадка), торговая секция «Приватизация, аренда и продажа прав» (далее – торговая секция). </w:t>
      </w:r>
    </w:p>
    <w:p>
      <w:pPr>
        <w:pStyle w:val="Normal"/>
        <w:widowControl w:val="false"/>
        <w:spacing w:before="0" w:after="0"/>
        <w:ind w:firstLine="567" w:left="-567"/>
        <w:contextualSpacing/>
        <w:jc w:val="both"/>
        <w:rPr>
          <w:rFonts w:eastAsia="Courier New"/>
          <w:color w:val="000000"/>
          <w:lang w:bidi="ru-RU"/>
        </w:rPr>
      </w:pPr>
      <w:r>
        <w:rPr>
          <w:rFonts w:eastAsia="Courier New"/>
          <w:b/>
          <w:color w:val="000000"/>
          <w:lang w:eastAsia="en-US" w:bidi="ru-RU"/>
        </w:rPr>
        <w:t>Владелец электронной площадки</w:t>
      </w:r>
      <w:r>
        <w:rPr>
          <w:rFonts w:eastAsia="Courier New"/>
          <w:color w:val="000000"/>
          <w:lang w:eastAsia="en-US" w:bidi="ru-RU"/>
        </w:rPr>
        <w:t>:</w:t>
      </w:r>
      <w:r>
        <w:rPr>
          <w:rFonts w:eastAsia="Calibri"/>
          <w:lang w:eastAsia="en-US"/>
        </w:rPr>
        <w:t xml:space="preserve"> АО «Сбербанк-АСТ» (далее – Оператор)</w:t>
      </w:r>
      <w:r>
        <w:rPr>
          <w:rFonts w:eastAsia="Courier New"/>
          <w:color w:val="000000"/>
          <w:lang w:eastAsia="en-US" w:bidi="ru-RU"/>
        </w:rPr>
        <w:t>.</w:t>
      </w:r>
    </w:p>
    <w:p>
      <w:pPr>
        <w:pStyle w:val="Normal"/>
        <w:widowControl w:val="false"/>
        <w:spacing w:before="0" w:after="0"/>
        <w:ind w:firstLine="567" w:left="-567"/>
        <w:contextualSpacing/>
        <w:jc w:val="both"/>
        <w:rPr>
          <w:bCs/>
          <w:lang w:bidi="ru-RU"/>
        </w:rPr>
      </w:pPr>
      <w:r>
        <w:rPr>
          <w:rFonts w:eastAsia="Courier New"/>
          <w:color w:val="000000"/>
          <w:lang w:bidi="ru-RU"/>
        </w:rPr>
        <w:t xml:space="preserve">Регламент работы электронной площадки размещён по </w:t>
      </w:r>
      <w:r>
        <w:rPr>
          <w:rFonts w:eastAsia="Courier New"/>
          <w:lang w:bidi="ru-RU"/>
        </w:rPr>
        <w:t xml:space="preserve">адресу: </w:t>
      </w:r>
      <w:hyperlink r:id="rId6" w:tgtFrame="https://utp.sberbank-ast.ru/Main/Notice/988/Reglament">
        <w:r>
          <w:rPr>
            <w:rStyle w:val="Hyperlink"/>
            <w:rFonts w:eastAsia="Courier New"/>
            <w:lang w:bidi="ru-RU"/>
          </w:rPr>
          <w:t>https://utp.sberbank-ast.ru/Main/Notice/988/Reglament</w:t>
        </w:r>
      </w:hyperlink>
      <w:r>
        <w:rPr>
          <w:rFonts w:eastAsia="Courier New"/>
          <w:lang w:bidi="ru-RU"/>
        </w:rPr>
        <w:t>.</w:t>
      </w:r>
    </w:p>
    <w:p>
      <w:pPr>
        <w:pStyle w:val="Normal"/>
        <w:widowControl w:val="false"/>
        <w:spacing w:before="0" w:after="0"/>
        <w:ind w:firstLine="567" w:left="-567"/>
        <w:contextualSpacing/>
        <w:jc w:val="both"/>
        <w:rPr>
          <w:rFonts w:eastAsia="Courier New"/>
          <w:lang w:bidi="ru-RU"/>
        </w:rPr>
      </w:pPr>
      <w:r>
        <w:rPr>
          <w:bCs/>
          <w:lang w:bidi="ru-RU"/>
        </w:rPr>
        <w:t xml:space="preserve">Регламент работы </w:t>
      </w:r>
      <w:r>
        <w:rPr>
          <w:rFonts w:eastAsia="Courier New"/>
          <w:lang w:bidi="ru-RU"/>
        </w:rPr>
        <w:t xml:space="preserve">торговой секции </w:t>
      </w:r>
      <w:r>
        <w:rPr>
          <w:bCs/>
          <w:lang w:eastAsia="en-US" w:bidi="ru-RU"/>
        </w:rPr>
        <w:t xml:space="preserve">размещен по адресу: </w:t>
      </w:r>
      <w:r>
        <w:rPr>
          <w:rFonts w:eastAsia="Calibri"/>
          <w:lang w:eastAsia="en-US"/>
        </w:rPr>
        <w:t xml:space="preserve"> </w:t>
      </w:r>
      <w:r>
        <w:rPr>
          <w:rFonts w:eastAsia="Calibri"/>
          <w:lang w:eastAsia="en-US"/>
        </w:rPr>
        <w:br w:type="textWrapping" w:clear="all"/>
      </w:r>
      <w:hyperlink r:id="rId7" w:tgtFrame="https://utp.sberbank-ast.ru/AP/Notice/1027/Instructions">
        <w:r>
          <w:rPr>
            <w:rStyle w:val="Hyperlink"/>
            <w:rFonts w:eastAsia="Calibri"/>
            <w:lang w:eastAsia="en-US"/>
          </w:rPr>
          <w:t>https://utp.sberbank-ast.ru/AP/Notice/1027/Instructions</w:t>
        </w:r>
      </w:hyperlink>
      <w:r>
        <w:rPr>
          <w:rFonts w:eastAsia="Calibri"/>
          <w:lang w:eastAsia="en-US"/>
        </w:rPr>
        <w:t>.</w:t>
      </w:r>
    </w:p>
    <w:p>
      <w:pPr>
        <w:pStyle w:val="Normal"/>
        <w:widowControl w:val="false"/>
        <w:spacing w:before="0" w:after="0"/>
        <w:ind w:firstLine="567" w:left="-567"/>
        <w:contextualSpacing/>
        <w:jc w:val="both"/>
        <w:rPr>
          <w:b/>
          <w:bCs/>
        </w:rPr>
      </w:pPr>
      <w:r>
        <w:rPr>
          <w:rFonts w:eastAsia="Courier New"/>
          <w:lang w:bidi="ru-RU"/>
        </w:rPr>
        <w:t xml:space="preserve">Инструкция по работе в торговой секции электронной площадки  </w:t>
      </w:r>
      <w:r>
        <w:rPr>
          <w:rFonts w:eastAsia="Courier New"/>
          <w:lang w:bidi="ru-RU"/>
        </w:rPr>
        <w:br w:type="textWrapping" w:clear="all"/>
      </w:r>
      <w:r>
        <w:rPr>
          <w:bCs/>
          <w:lang w:eastAsia="en-US" w:bidi="ru-RU"/>
        </w:rPr>
        <w:t>размещена по адресу:</w:t>
      </w:r>
      <w:r>
        <w:rPr>
          <w:rFonts w:eastAsia="Calibri" w:cs="Calibri" w:ascii="Calibri" w:hAnsi="Calibri"/>
          <w:sz w:val="22"/>
          <w:szCs w:val="22"/>
          <w:lang w:eastAsia="en-US"/>
        </w:rPr>
        <w:t xml:space="preserve"> </w:t>
      </w:r>
      <w:hyperlink r:id="rId8" w:tgtFrame="https://utp.sberbank-ast.ru/AP/Notice/652/Instructions">
        <w:r>
          <w:rPr>
            <w:rStyle w:val="Hyperlink"/>
            <w:bCs/>
            <w:lang w:eastAsia="en-US" w:bidi="ru-RU"/>
          </w:rPr>
          <w:t>https://utp.sberbank-ast.ru/AP/Notice/652/Instructions</w:t>
        </w:r>
      </w:hyperlink>
      <w:r>
        <w:rPr>
          <w:bCs/>
          <w:lang w:eastAsia="en-US" w:bidi="ru-RU"/>
        </w:rPr>
        <w:t>.</w:t>
      </w:r>
    </w:p>
    <w:p>
      <w:pPr>
        <w:pStyle w:val="Normal"/>
        <w:widowControl w:val="false"/>
        <w:ind w:firstLine="567" w:left="-567"/>
        <w:jc w:val="both"/>
        <w:rPr>
          <w:highlight w:val="none"/>
        </w:rPr>
      </w:pPr>
      <w:r>
        <w:rPr>
          <w:b/>
          <w:bCs/>
        </w:rPr>
        <w:t xml:space="preserve">Орган, уполномоченный на право заключение договора аренды земельного участка: </w:t>
      </w:r>
      <w:r>
        <w:rPr>
          <w:bCs/>
        </w:rPr>
        <w:t>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212-61-90 (отдел договоров), адрес электронной почты:</w:t>
      </w:r>
      <w:r>
        <w:rPr>
          <w:bCs/>
          <w:sz w:val="24"/>
          <w:szCs w:val="24"/>
        </w:rPr>
        <w:t xml:space="preserve"> </w:t>
      </w:r>
      <w:r>
        <w:rPr>
          <w:rStyle w:val="Hyperlink"/>
          <w:bCs/>
          <w:sz w:val="24"/>
          <w:szCs w:val="24"/>
          <w:lang w:val="en-US"/>
        </w:rPr>
        <w:t>dzo</w:t>
      </w:r>
      <w:r>
        <w:rPr>
          <w:rStyle w:val="Hyperlink"/>
          <w:bCs/>
          <w:sz w:val="24"/>
          <w:szCs w:val="24"/>
        </w:rPr>
        <w:t>@</w:t>
      </w:r>
      <w:r>
        <w:rPr>
          <w:rStyle w:val="Hyperlink"/>
          <w:bCs/>
          <w:sz w:val="24"/>
          <w:szCs w:val="24"/>
          <w:lang w:val="en-US"/>
        </w:rPr>
        <w:t>perm</w:t>
      </w:r>
      <w:r>
        <w:rPr>
          <w:rStyle w:val="Hyperlink"/>
          <w:bCs/>
          <w:sz w:val="24"/>
          <w:szCs w:val="24"/>
        </w:rPr>
        <w:t>.</w:t>
      </w:r>
      <w:r>
        <w:rPr>
          <w:rStyle w:val="Hyperlink"/>
          <w:bCs/>
          <w:sz w:val="24"/>
          <w:szCs w:val="24"/>
          <w:lang w:val="en-US"/>
        </w:rPr>
        <w:t>permkrai</w:t>
      </w:r>
      <w:r>
        <w:rPr>
          <w:rStyle w:val="Hyperlink"/>
          <w:bCs/>
          <w:sz w:val="24"/>
          <w:szCs w:val="24"/>
        </w:rPr>
        <w:t>.</w:t>
      </w:r>
      <w:r>
        <w:rPr>
          <w:rStyle w:val="Hyperlink"/>
          <w:bCs/>
          <w:sz w:val="24"/>
          <w:szCs w:val="24"/>
          <w:lang w:val="en-US"/>
        </w:rPr>
        <w:t>ru.</w:t>
      </w:r>
    </w:p>
    <w:p>
      <w:pPr>
        <w:pStyle w:val="Normal"/>
        <w:widowControl w:val="false"/>
        <w:ind w:firstLine="567" w:left="-567"/>
        <w:jc w:val="both"/>
        <w:rPr>
          <w:b/>
          <w:bCs/>
        </w:rPr>
      </w:pPr>
      <w:r>
        <w:rPr>
          <w:b/>
          <w:bCs/>
        </w:rPr>
      </w:r>
    </w:p>
    <w:p>
      <w:pPr>
        <w:pStyle w:val="Normal"/>
        <w:widowControl w:val="false"/>
        <w:ind w:firstLine="567" w:left="-567"/>
        <w:jc w:val="both"/>
        <w:rPr>
          <w:b/>
          <w:bCs/>
        </w:rPr>
      </w:pPr>
      <w:r>
        <w:rPr>
          <w:b/>
          <w:bCs/>
        </w:rPr>
      </w:r>
    </w:p>
    <w:p>
      <w:pPr>
        <w:pStyle w:val="PlainText"/>
        <w:spacing w:lineRule="exact" w:line="240"/>
        <w:ind w:hanging="1134" w:left="1134"/>
        <w:jc w:val="center"/>
        <w:rPr>
          <w:b/>
          <w:lang w:val="ru-RU"/>
        </w:rPr>
      </w:pPr>
      <w:r>
        <w:rPr>
          <w:rFonts w:cs="Times New Roman" w:ascii="Times New Roman" w:hAnsi="Times New Roman"/>
          <w:b/>
          <w:sz w:val="28"/>
          <w:szCs w:val="28"/>
          <w:lang w:val="ru-RU"/>
        </w:rPr>
        <w:t>Сведения о лотах (предметах аукциона)</w:t>
      </w:r>
    </w:p>
    <w:p>
      <w:pPr>
        <w:pStyle w:val="Normal"/>
        <w:tabs>
          <w:tab w:val="clear" w:pos="708"/>
          <w:tab w:val="left" w:pos="5103" w:leader="none"/>
        </w:tabs>
        <w:ind w:right="-263"/>
        <w:rPr>
          <w:b/>
          <w:bCs/>
        </w:rPr>
      </w:pPr>
      <w:r>
        <w:rPr>
          <w:b/>
          <w:bCs/>
          <w:lang w:val="en-US"/>
        </w:rPr>
        <w:t>Лот № 1</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распоряжения начальника департамента земельных отношений администрации города </w:t>
            </w:r>
            <w:r>
              <w:rPr>
                <w:rFonts w:eastAsia="Droid Sans Fallback" w:cs="Lohit Devanagari"/>
                <w:color w:val="auto"/>
                <w:sz w:val="24"/>
                <w:szCs w:val="24"/>
                <w:lang w:val="ru-RU" w:eastAsia="zh-CN" w:bidi="ar-SA"/>
              </w:rPr>
              <w:t>Перми от 11 августа 2025 г. № 21-01-03-6424 «О проведении аукциона на право заключения договора аренды земельного участка в Мотовилихинском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Калгановская, з/у 73а</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491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59:01:3911374:164</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1"/>
              <w:jc w:val="both"/>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от 20.08.2025г. No КУВИ-001/2025-159299836</w:t>
            </w:r>
            <w:r>
              <w:rPr>
                <w:color w:val="auto"/>
                <w:sz w:val="24"/>
                <w:szCs w:val="24"/>
              </w:rPr>
              <w:t xml:space="preserve"> (далее – ЕГРН)</w:t>
            </w:r>
            <w:r>
              <w:rPr>
                <w:sz w:val="24"/>
                <w:szCs w:val="24"/>
              </w:rPr>
              <w:t>;</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04</w:t>
            </w:r>
            <w:r>
              <w:rPr>
                <w:sz w:val="24"/>
                <w:highlight w:val="white"/>
              </w:rPr>
              <w:t>.06.2025 № РФ-59-2-03-0-00-2025-1281-0</w:t>
            </w:r>
            <w:r>
              <w:rPr>
                <w:color w:val="auto"/>
                <w:sz w:val="24"/>
                <w:szCs w:val="24"/>
              </w:rPr>
              <w:t xml:space="preserve"> (далее – ГПЗУ)</w:t>
            </w:r>
            <w:r>
              <w:rPr>
                <w:sz w:val="24"/>
                <w:szCs w:val="24"/>
              </w:rPr>
              <w:t>.</w:t>
            </w:r>
          </w:p>
          <w:p>
            <w:pPr>
              <w:pStyle w:val="BodyText"/>
              <w:ind w:firstLine="312"/>
              <w:jc w:val="both"/>
              <w:rPr>
                <w:color w:val="000000"/>
                <w:sz w:val="24"/>
              </w:rPr>
            </w:pPr>
            <w:r>
              <w:rPr>
                <w:color w:val="000000"/>
                <w:sz w:val="24"/>
              </w:rPr>
            </w:r>
          </w:p>
          <w:p>
            <w:pPr>
              <w:pStyle w:val="Normal"/>
              <w:spacing w:lineRule="auto" w:line="240" w:before="0" w:after="0"/>
              <w:ind w:firstLine="311"/>
              <w:jc w:val="both"/>
              <w:rPr>
                <w:rFonts w:ascii="Times New Roman" w:hAnsi="Times New Roman"/>
                <w:spacing w:val="0"/>
                <w:sz w:val="24"/>
                <w:szCs w:val="24"/>
                <w:highlight w:val="white"/>
              </w:rPr>
            </w:pPr>
            <w:r>
              <w:rPr>
                <w:sz w:val="24"/>
                <w:szCs w:val="24"/>
                <w:highlight w:val="white"/>
              </w:rPr>
              <w:t>В соответствии со сведениями из ЕГРН и копией планшета 1:500 (тре</w:t>
            </w:r>
            <w:r>
              <w:rPr>
                <w:spacing w:val="0"/>
                <w:sz w:val="24"/>
                <w:szCs w:val="24"/>
                <w:highlight w:val="white"/>
              </w:rPr>
              <w:t>буется корректура) объекты капитального/некапитального строительства в границах Участка отсутствуют.</w:t>
            </w:r>
          </w:p>
          <w:p>
            <w:pPr>
              <w:pStyle w:val="Normal"/>
              <w:spacing w:lineRule="auto" w:line="240" w:before="0" w:after="0"/>
              <w:ind w:firstLine="311"/>
              <w:jc w:val="both"/>
              <w:rPr>
                <w:rFonts w:ascii="Times New Roman" w:hAnsi="Times New Roman"/>
                <w:spacing w:val="0"/>
                <w:szCs w:val="24"/>
                <w:highlight w:val="none"/>
                <w14:ligatures w14:val="none"/>
              </w:rPr>
            </w:pPr>
            <w:r>
              <w:rPr>
                <w:spacing w:val="0"/>
                <w:szCs w:val="24"/>
                <w14:ligatures w14:val="none"/>
              </w:rPr>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Доступ к Участку не ограничен, движимых и недвижимых объектов не выявлено. Рельеф с пересеченной местностью и густой растительностью.</w:t>
            </w:r>
          </w:p>
          <w:p>
            <w:pPr>
              <w:pStyle w:val="Normal"/>
              <w:spacing w:lineRule="auto" w:line="240" w:before="0" w:after="0"/>
              <w:ind w:firstLine="311"/>
              <w:jc w:val="both"/>
              <w:rPr/>
            </w:pPr>
            <w:r>
              <w:rPr>
                <w:spacing w:val="0"/>
                <w:sz w:val="24"/>
                <w:szCs w:val="24"/>
                <w:highlight w:val="white"/>
              </w:rPr>
              <w:t>Ближайшими</w:t>
            </w:r>
            <w:r>
              <w:rPr>
                <w:spacing w:val="0"/>
                <w:sz w:val="24"/>
                <w:szCs w:val="24"/>
              </w:rPr>
              <w:t xml:space="preserve"> </w:t>
            </w:r>
            <w:r>
              <w:rPr>
                <w:spacing w:val="0"/>
                <w:sz w:val="24"/>
                <w:szCs w:val="24"/>
                <w:highlight w:val="white"/>
              </w:rPr>
              <w:t>источниками</w:t>
            </w:r>
            <w:r>
              <w:rPr>
                <w:spacing w:val="0"/>
                <w:sz w:val="24"/>
                <w:szCs w:val="24"/>
              </w:rPr>
              <w:t xml:space="preserve"> </w:t>
            </w:r>
            <w:r>
              <w:rPr>
                <w:spacing w:val="0"/>
                <w:sz w:val="24"/>
                <w:szCs w:val="24"/>
                <w:highlight w:val="white"/>
              </w:rPr>
              <w:t>противопожарного</w:t>
            </w:r>
            <w:r>
              <w:rPr>
                <w:spacing w:val="0"/>
                <w:sz w:val="24"/>
                <w:szCs w:val="24"/>
              </w:rPr>
              <w:t xml:space="preserve"> </w:t>
            </w:r>
            <w:r>
              <w:rPr>
                <w:spacing w:val="0"/>
                <w:sz w:val="24"/>
                <w:szCs w:val="24"/>
                <w:highlight w:val="white"/>
              </w:rPr>
              <w:t>водоснабжения,</w:t>
            </w:r>
            <w:r>
              <w:rPr>
                <w:spacing w:val="0"/>
                <w:sz w:val="24"/>
                <w:szCs w:val="24"/>
              </w:rPr>
              <w:t xml:space="preserve"> </w:t>
            </w:r>
            <w:r>
              <w:rPr>
                <w:spacing w:val="0"/>
                <w:sz w:val="24"/>
                <w:szCs w:val="24"/>
                <w:highlight w:val="white"/>
              </w:rPr>
              <w:t>относительно испрашиваемого земельного участка являются:</w:t>
            </w:r>
          </w:p>
          <w:p>
            <w:pPr>
              <w:pStyle w:val="Normal"/>
              <w:spacing w:lineRule="auto" w:line="240" w:before="0" w:after="0"/>
              <w:ind w:firstLine="311"/>
              <w:jc w:val="both"/>
              <w:rPr/>
            </w:pPr>
            <w:r>
              <w:rPr>
                <w:spacing w:val="0"/>
                <w:sz w:val="24"/>
                <w:szCs w:val="24"/>
                <w:highlight w:val="white"/>
              </w:rPr>
              <w:t xml:space="preserve">ПГ (пожарный гидрант) по ул. Труда, 112, </w:t>
              <w:br/>
              <w:t>на расстоянии 320 м;</w:t>
            </w:r>
          </w:p>
          <w:p>
            <w:pPr>
              <w:pStyle w:val="Normal"/>
              <w:spacing w:lineRule="auto" w:line="240" w:before="0" w:after="0"/>
              <w:ind w:firstLine="311"/>
              <w:jc w:val="both"/>
              <w:rPr/>
            </w:pPr>
            <w:r>
              <w:rPr>
                <w:spacing w:val="0"/>
                <w:sz w:val="24"/>
                <w:szCs w:val="24"/>
                <w:highlight w:val="white"/>
              </w:rPr>
              <w:t>ПГ по ул. Труда, 106 , на расстоянии 420 м;</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ПГ по ул. Норинская, на расстоянии 420 м.</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администрации Мотовилихинского района города Перми</w:t>
            </w:r>
            <w:r>
              <w:rPr>
                <w:spacing w:val="0"/>
                <w:sz w:val="24"/>
                <w:szCs w:val="24"/>
                <w:highlight w:val="white"/>
              </w:rPr>
              <w:t xml:space="preserve"> от 04.06.2025 № 059-36-01-42/3-121, в акте обследования от 04.06.2025 ).</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Согласно сведениям, содержащимся в ГПЗУ, ЕГРН </w:t>
              <w:br/>
              <w:t>и справке по градостроительным условиям от 20.08.2025 № 642546, Участок расположен в границах зоны с особыми условиями использования территории:</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полностью в Приаэродромной территории аэродрома аэропорта Большое Савино, реестровый номер 59:32-6.553.</w:t>
            </w:r>
          </w:p>
          <w:p>
            <w:pPr>
              <w:pStyle w:val="Normal"/>
              <w:spacing w:lineRule="auto" w:line="240" w:before="0" w:after="0"/>
              <w:ind w:firstLine="311"/>
              <w:jc w:val="both"/>
              <w:rPr>
                <w:rFonts w:ascii="Times New Roman" w:hAnsi="Times New Roman"/>
                <w:spacing w:val="0"/>
                <w:sz w:val="24"/>
                <w:szCs w:val="24"/>
                <w:highlight w:val="none"/>
              </w:rPr>
            </w:pPr>
            <w:r>
              <w:rPr>
                <w:spacing w:val="0"/>
                <w:sz w:val="24"/>
                <w:szCs w:val="24"/>
                <w:highlight w:val="white"/>
                <w14:ligatures w14:val="none"/>
              </w:rPr>
              <w:t>Проектирование и строительство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r>
              <w:rPr>
                <w:spacing w:val="0"/>
                <w:sz w:val="24"/>
                <w:szCs w:val="24"/>
                <w14:ligatures w14:val="none"/>
              </w:rPr>
              <w:t>.</w:t>
            </w:r>
          </w:p>
          <w:p>
            <w:pPr>
              <w:pStyle w:val="Normal"/>
              <w:spacing w:lineRule="auto" w:line="240" w:before="0" w:after="0"/>
              <w:ind w:firstLine="311"/>
              <w:jc w:val="both"/>
              <w:rPr>
                <w:rFonts w:ascii="Times New Roman" w:hAnsi="Times New Roman"/>
                <w:spacing w:val="0"/>
                <w:sz w:val="24"/>
                <w:szCs w:val="24"/>
                <w:highlight w:val="none"/>
              </w:rPr>
            </w:pPr>
            <w:r>
              <w:rPr>
                <w:spacing w:val="0"/>
                <w:sz w:val="24"/>
                <w:szCs w:val="24"/>
              </w:rPr>
            </w:r>
          </w:p>
          <w:p>
            <w:pPr>
              <w:pStyle w:val="Normal"/>
              <w:spacing w:lineRule="auto" w:line="240" w:before="0" w:after="0"/>
              <w:ind w:firstLine="311"/>
              <w:jc w:val="both"/>
              <w:rPr>
                <w:rFonts w:ascii="Times New Roman" w:hAnsi="Times New Roman"/>
                <w:spacing w:val="0"/>
                <w:sz w:val="24"/>
                <w:szCs w:val="24"/>
                <w:highlight w:val="none"/>
              </w:rPr>
            </w:pPr>
            <w:r>
              <w:rPr>
                <w:spacing w:val="0"/>
                <w:sz w:val="24"/>
                <w:szCs w:val="24"/>
                <w:highlight w:val="white"/>
              </w:rPr>
              <w:t>На Участке произрастает 11 деревьев: клен 8 шт., липа 3 шт. 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color w:themeColor="text1" w:val="000000"/>
                <w:spacing w:val="0"/>
              </w:rPr>
            </w:pPr>
            <w:r>
              <w:rPr>
                <w:rFonts w:eastAsia="Times New Roman" w:cs="Times New Roman"/>
                <w:color w:themeColor="text1" w:val="000000"/>
                <w:spacing w:val="0"/>
                <w:sz w:val="24"/>
              </w:rPr>
              <w:t>Победителю аукциона необходимо соблюдать условия строительства, перечисленные в перечне мероприятий по охране окружающей среды от 11.06.2025 № 148 (прилагается).</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управления по экологии и природопользованию администрации города Перми</w:t>
            </w:r>
            <w:r>
              <w:rPr>
                <w:spacing w:val="0"/>
                <w:sz w:val="24"/>
                <w:szCs w:val="24"/>
                <w:highlight w:val="white"/>
              </w:rPr>
              <w:t xml:space="preserve"> от 11.06.2025 № 059-33-01-10/3-331).</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40"/>
              <w:jc w:val="both"/>
              <w:rPr>
                <w:rFonts w:ascii="Times New Roman" w:hAnsi="Times New Roman"/>
                <w:spacing w:val="0"/>
                <w:sz w:val="24"/>
                <w:szCs w:val="24"/>
                <w:highlight w:val="none"/>
              </w:rPr>
            </w:pPr>
            <w:r>
              <w:rPr>
                <w:spacing w:val="0"/>
                <w:sz w:val="24"/>
                <w:szCs w:val="24"/>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0" w:after="0"/>
              <w:ind w:firstLine="340"/>
              <w:jc w:val="both"/>
              <w:rPr/>
            </w:pPr>
            <w:r>
              <w:rPr>
                <w:spacing w:val="0"/>
                <w:sz w:val="24"/>
                <w:szCs w:val="24"/>
              </w:rPr>
              <w:t xml:space="preserve">Постановлением администрации города Перми </w:t>
              <w:br/>
              <w:t>от 31.12.2013 № 1291 в отношении территории, включающей Участок, утверждена документация по планировке территории, которой не предусмотрено обеспечение доступа к Земельному участку.</w:t>
            </w:r>
          </w:p>
          <w:p>
            <w:pPr>
              <w:pStyle w:val="Normal"/>
              <w:spacing w:lineRule="auto" w:line="240" w:before="0" w:after="0"/>
              <w:ind w:firstLine="317"/>
              <w:jc w:val="both"/>
              <w:rPr>
                <w:b/>
                <w:bCs/>
              </w:rPr>
            </w:pPr>
            <w:r>
              <w:rPr>
                <w:b/>
                <w:bCs/>
                <w:spacing w:val="0"/>
                <w:sz w:val="24"/>
                <w:szCs w:val="24"/>
              </w:rPr>
              <w:t>В настоящее время условия примыкания Участка к улично-дорожной сети города Перми отсутствуют.</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 xml:space="preserve">департамента дорог и </w:t>
            </w:r>
            <w:r>
              <w:rPr>
                <w:b/>
                <w:spacing w:val="0"/>
                <w:sz w:val="24"/>
                <w:szCs w:val="24"/>
                <w:highlight w:val="white"/>
              </w:rPr>
              <w:t xml:space="preserve">благоустройства администрации города Перми </w:t>
            </w:r>
            <w:r>
              <w:rPr>
                <w:spacing w:val="0"/>
                <w:sz w:val="24"/>
                <w:szCs w:val="24"/>
                <w:highlight w:val="white"/>
              </w:rPr>
              <w:t>от 29.05.2025 № 059-24-01-36/3-1830).</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7"/>
              <w:jc w:val="both"/>
              <w:rPr/>
            </w:pPr>
            <w:r>
              <w:rPr>
                <w:spacing w:val="-6"/>
                <w:sz w:val="24"/>
                <w:szCs w:val="24"/>
                <w14:ligatures w14:val="none"/>
              </w:rPr>
              <w:t xml:space="preserve">Источники противопожарного водоснабжения </w:t>
              <w:br/>
              <w:t>на указанной территории отсутствуют. Ближайший пожарный гидрант на сети водоснабжения расположен на пересечении улиц Труда и Челябинская на расстоянии 525 метров.</w:t>
            </w:r>
          </w:p>
          <w:p>
            <w:pPr>
              <w:pStyle w:val="Normal"/>
              <w:spacing w:lineRule="auto" w:line="240" w:before="0" w:after="0"/>
              <w:ind w:firstLine="317"/>
              <w:jc w:val="both"/>
              <w:rPr/>
            </w:pPr>
            <w:r>
              <w:rPr>
                <w:spacing w:val="-6"/>
                <w:sz w:val="24"/>
                <w:szCs w:val="24"/>
                <w14:ligatures w14:val="none"/>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0" w:after="0"/>
              <w:ind w:firstLine="317"/>
              <w:jc w:val="both"/>
              <w:rPr/>
            </w:pPr>
            <w:r>
              <w:rPr>
                <w:spacing w:val="-6"/>
                <w:sz w:val="24"/>
                <w:szCs w:val="24"/>
                <w14:ligatures w14:val="none"/>
              </w:rPr>
              <w:t xml:space="preserve">Информация о подразделениях пожарной охраны </w:t>
              <w:br/>
              <w:t>и времени их прибытия содержится в «Расписании выезда подразделений Пермского местного пожарно -спасательного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w:t>
            </w:r>
          </w:p>
          <w:p>
            <w:pPr>
              <w:pStyle w:val="Normal"/>
              <w:spacing w:lineRule="auto" w:line="240" w:before="0" w:after="0"/>
              <w:ind w:firstLine="317"/>
              <w:jc w:val="both"/>
              <w:rPr/>
            </w:pPr>
            <w:r>
              <w:rPr>
                <w:spacing w:val="-6"/>
                <w:sz w:val="24"/>
                <w:szCs w:val="24"/>
                <w14:ligatures w14:val="none"/>
              </w:rPr>
              <w:t>Ближайшее подразделение пожарной охраны расположено по адресу: город Пермь, ул. Уральская, 74 (ПСЧ -3 10-ПСО.</w:t>
            </w:r>
          </w:p>
          <w:p>
            <w:pPr>
              <w:pStyle w:val="Normal"/>
              <w:spacing w:lineRule="auto" w:line="240" w:before="0" w:after="0"/>
              <w:ind w:firstLine="317"/>
              <w:jc w:val="both"/>
              <w:rPr/>
            </w:pPr>
            <w:r>
              <w:rPr>
                <w:spacing w:val="-6"/>
                <w:sz w:val="24"/>
                <w:szCs w:val="24"/>
                <w14:ligatures w14:val="none"/>
              </w:rPr>
              <w:t>При планировке 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N 69-ФЗ «О пожарной безопасности» и от 22 июля 2008 г. N 123-ФЗ «Технический регламент о требованиях пожарной безопасности»,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 от 30.03.2020 N 225, Свода правил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N 288 и иной документации, касающейся норм противопожарной безопасности.</w:t>
            </w:r>
          </w:p>
          <w:p>
            <w:pPr>
              <w:pStyle w:val="Normal"/>
              <w:spacing w:lineRule="auto" w:line="240" w:before="0" w:after="0"/>
              <w:ind w:firstLine="317"/>
              <w:jc w:val="both"/>
              <w:rPr/>
            </w:pPr>
            <w:r>
              <w:rPr>
                <w:spacing w:val="-6"/>
                <w:sz w:val="24"/>
                <w:szCs w:val="24"/>
                <w14:ligatures w14:val="none"/>
              </w:rPr>
              <w:t>Объекты общественной безопасности, отнесенные к объектам полиции (участковые пункты полиции), в данном микрорайоне расположены по адресу: город Пермь, ул. Труда, 61 (микрорайон Вышка - 1, Мотовилихинский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317"/>
              <w:jc w:val="both"/>
              <w:rPr/>
            </w:pPr>
            <w:r>
              <w:rPr>
                <w:spacing w:val="-6"/>
                <w:sz w:val="24"/>
              </w:rPr>
              <w:t>В соответствии с информацией, предоставленной Министерством территориальной безопасности Пермского края (письмо от 07.10.2024 № 964-с), данная территория попадает в зону возможного химического заражения в особый период.</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департамента общественной безопасности администрации города Перми</w:t>
            </w:r>
            <w:r>
              <w:rPr>
                <w:spacing w:val="0"/>
                <w:sz w:val="24"/>
                <w:szCs w:val="24"/>
                <w:highlight w:val="white"/>
              </w:rPr>
              <w:t xml:space="preserve"> от 29.05.2025 № 059-10-01-27/3-1145).</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Normal"/>
              <w:ind w:firstLine="312"/>
              <w:jc w:val="both"/>
              <w:rPr>
                <w:sz w:val="24"/>
                <w:szCs w:val="24"/>
              </w:rPr>
            </w:pPr>
            <w:r>
              <w:rPr>
                <w:sz w:val="24"/>
                <w:szCs w:val="24"/>
              </w:rPr>
            </w:r>
          </w:p>
          <w:p>
            <w:pPr>
              <w:pStyle w:val="Normal"/>
              <w:spacing w:lineRule="auto" w:line="240" w:before="0" w:after="0"/>
              <w:ind w:firstLine="311"/>
              <w:jc w:val="both"/>
              <w:rPr>
                <w:rFonts w:ascii="Times New Roman" w:hAnsi="Times New Roman"/>
                <w:sz w:val="24"/>
                <w:szCs w:val="24"/>
              </w:rPr>
            </w:pPr>
            <w:r>
              <w:rPr>
                <w:sz w:val="24"/>
                <w:szCs w:val="24"/>
                <w:lang w:val="en-US"/>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w:t>
            </w:r>
            <w:r>
              <w:rPr>
                <w:sz w:val="24"/>
                <w:szCs w:val="24"/>
              </w:rPr>
              <w:t xml:space="preserve"> </w:t>
            </w:r>
            <w:r>
              <w:rPr>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sz w:val="24"/>
                <w:szCs w:val="24"/>
              </w:rPr>
              <w:t>, переднюю.</w:t>
            </w:r>
          </w:p>
          <w:p>
            <w:pPr>
              <w:pStyle w:val="Normal"/>
              <w:spacing w:lineRule="auto" w:line="240" w:before="0" w:after="0"/>
              <w:ind w:firstLine="311"/>
              <w:jc w:val="both"/>
              <w:rPr>
                <w:rFonts w:ascii="Times New Roman" w:hAnsi="Times New Roman"/>
                <w:sz w:val="24"/>
                <w:szCs w:val="24"/>
                <w:lang w:val="en-US"/>
              </w:rPr>
            </w:pPr>
            <w:r>
              <w:rPr>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lang w:val="en-US"/>
              </w:rPr>
              <w:t>2</w:t>
            </w:r>
            <w:r>
              <w:rPr>
                <w:sz w:val="24"/>
                <w:szCs w:val="24"/>
                <w:lang w:val="en-US"/>
              </w:rPr>
              <w:t>, общей комнаты в доме с числом комнат две и более - 16 м</w:t>
            </w:r>
            <w:r>
              <w:rPr>
                <w:sz w:val="24"/>
                <w:szCs w:val="24"/>
                <w:vertAlign w:val="superscript"/>
                <w:lang w:val="en-US"/>
              </w:rPr>
              <w:t>2</w:t>
            </w:r>
            <w:r>
              <w:rPr>
                <w:sz w:val="24"/>
                <w:szCs w:val="24"/>
                <w:lang w:val="en-US"/>
              </w:rPr>
              <w:t>, спальни - 8 м</w:t>
            </w:r>
            <w:r>
              <w:rPr>
                <w:sz w:val="24"/>
                <w:szCs w:val="24"/>
                <w:vertAlign w:val="superscript"/>
                <w:lang w:val="en-US"/>
              </w:rPr>
              <w:t>2</w:t>
            </w:r>
            <w:r>
              <w:rPr>
                <w:sz w:val="24"/>
                <w:szCs w:val="24"/>
                <w:lang w:val="en-US"/>
              </w:rPr>
              <w:t xml:space="preserve"> (на двух человек - 10 м</w:t>
            </w:r>
            <w:r>
              <w:rPr>
                <w:sz w:val="24"/>
                <w:szCs w:val="24"/>
                <w:vertAlign w:val="superscript"/>
                <w:lang w:val="en-US"/>
              </w:rPr>
              <w:t>2</w:t>
            </w:r>
            <w:r>
              <w:rPr>
                <w:sz w:val="24"/>
                <w:szCs w:val="24"/>
                <w:lang w:val="en-US"/>
              </w:rPr>
              <w:t>); кухни - 8 м</w:t>
            </w:r>
            <w:r>
              <w:rPr>
                <w:sz w:val="24"/>
                <w:szCs w:val="24"/>
                <w:vertAlign w:val="superscript"/>
                <w:lang w:val="en-US"/>
              </w:rPr>
              <w:t>2</w:t>
            </w:r>
            <w:r>
              <w:rPr>
                <w:sz w:val="24"/>
                <w:szCs w:val="24"/>
                <w:lang w:val="en-US"/>
              </w:rPr>
              <w:t xml:space="preserve">; кухонной зоны </w:t>
              <w:br/>
              <w:t>в кухне-столовой - 6 м</w:t>
            </w:r>
            <w:r>
              <w:rPr>
                <w:sz w:val="24"/>
                <w:szCs w:val="24"/>
                <w:vertAlign w:val="superscript"/>
                <w:lang w:val="en-US"/>
              </w:rPr>
              <w:t>2</w:t>
            </w:r>
            <w:r>
              <w:rPr>
                <w:sz w:val="24"/>
                <w:szCs w:val="24"/>
                <w:lang w:val="en-US"/>
              </w:rPr>
              <w:t>.</w:t>
            </w:r>
            <w:r>
              <w:rPr>
                <w:sz w:val="24"/>
                <w:szCs w:val="24"/>
              </w:rPr>
              <w:t xml:space="preserve"> </w:t>
            </w:r>
            <w:r>
              <w:rPr>
                <w:sz w:val="24"/>
                <w:szCs w:val="24"/>
                <w:lang w:val="en-US"/>
              </w:rPr>
              <w:t>В домах с одной комнатой допускается проектировать кухни или кухни-ниши площадью не менее 5 м</w:t>
            </w:r>
            <w:r>
              <w:rPr>
                <w:sz w:val="24"/>
                <w:szCs w:val="24"/>
                <w:vertAlign w:val="superscript"/>
                <w:lang w:val="en-US"/>
              </w:rPr>
              <w:t>2</w:t>
            </w:r>
            <w:r>
              <w:rPr>
                <w:sz w:val="24"/>
                <w:szCs w:val="24"/>
                <w:lang w:val="en-US"/>
              </w:rPr>
              <w:t>.</w:t>
            </w:r>
            <w:r>
              <w:rPr>
                <w:sz w:val="24"/>
                <w:szCs w:val="24"/>
              </w:rPr>
              <w:t xml:space="preserve"> </w:t>
            </w:r>
            <w:r>
              <w:rPr>
                <w:sz w:val="24"/>
                <w:szCs w:val="24"/>
                <w:lang w:val="en-US"/>
              </w:rPr>
              <w:t>Площадь спальни и кухни в мансардном этаже (или этаже с наклонными ограждающими конструкциями) допускается не менее 7 м</w:t>
            </w:r>
            <w:r>
              <w:rPr>
                <w:sz w:val="24"/>
                <w:szCs w:val="24"/>
                <w:vertAlign w:val="superscript"/>
                <w:lang w:val="en-US"/>
              </w:rPr>
              <w:t>2</w:t>
            </w:r>
            <w:r>
              <w:rPr>
                <w:sz w:val="24"/>
                <w:szCs w:val="24"/>
                <w:lang w:val="en-US"/>
              </w:rPr>
              <w:t xml:space="preserve"> при условии, что общая жилая комната имеет площадь не менее 16 м</w:t>
            </w:r>
            <w:r>
              <w:rPr>
                <w:sz w:val="24"/>
                <w:szCs w:val="24"/>
                <w:vertAlign w:val="superscript"/>
                <w:lang w:val="en-US"/>
              </w:rPr>
              <w:t>2</w:t>
            </w:r>
            <w:r>
              <w:rPr>
                <w:sz w:val="24"/>
                <w:szCs w:val="24"/>
                <w:lang w:val="en-US"/>
              </w:rPr>
              <w:t>.</w:t>
            </w:r>
          </w:p>
          <w:p>
            <w:pPr>
              <w:pStyle w:val="Normal"/>
              <w:spacing w:lineRule="auto" w:line="240" w:before="0" w:after="0"/>
              <w:ind w:firstLine="311"/>
              <w:jc w:val="both"/>
              <w:rPr>
                <w:rFonts w:ascii="Times New Roman" w:hAnsi="Times New Roman"/>
                <w:sz w:val="24"/>
                <w:szCs w:val="24"/>
                <w:lang w:val="en-US"/>
              </w:rPr>
            </w:pPr>
            <w:r>
              <w:rPr>
                <w:sz w:val="24"/>
                <w:szCs w:val="24"/>
                <w:lang w:val="en-US"/>
              </w:rPr>
              <w:t xml:space="preserve">Согласно пункту 6.2 СП 55.13330.2016 высота </w:t>
              <w:br/>
              <w:t xml:space="preserve">(от пола до потолка) комнат и кухни (кухни-столовой) </w:t>
              <w:br/>
              <w:t xml:space="preserve">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w:t>
            </w:r>
            <w:r>
              <w:rPr>
                <w:spacing w:val="-2"/>
                <w:sz w:val="24"/>
                <w:szCs w:val="24"/>
                <w:lang w:val="en-US"/>
              </w:rPr>
              <w:t>антресолей должна составлять не менее 2,1 м,</w:t>
            </w:r>
            <w:r>
              <w:rPr>
                <w:spacing w:val="-2"/>
                <w:sz w:val="24"/>
                <w:szCs w:val="24"/>
              </w:rPr>
              <w:t xml:space="preserve"> </w:t>
            </w:r>
            <w:r>
              <w:rPr>
                <w:spacing w:val="-2"/>
                <w:sz w:val="24"/>
                <w:szCs w:val="24"/>
                <w:lang w:val="en-US"/>
              </w:rPr>
              <w:t>а высота пути эвакуации -</w:t>
            </w:r>
            <w:r>
              <w:rPr>
                <w:sz w:val="24"/>
                <w:szCs w:val="24"/>
                <w:lang w:val="en-US"/>
              </w:rPr>
              <w:t xml:space="preserve"> не менее</w:t>
            </w:r>
            <w:r>
              <w:rPr>
                <w:sz w:val="24"/>
                <w:szCs w:val="24"/>
              </w:rPr>
              <w:t xml:space="preserve"> </w:t>
            </w:r>
            <w:r>
              <w:rPr>
                <w:sz w:val="24"/>
                <w:szCs w:val="24"/>
                <w:lang w:val="en-US"/>
              </w:rPr>
              <w:t>2,2 м.</w:t>
            </w:r>
          </w:p>
          <w:p>
            <w:pPr>
              <w:pStyle w:val="Normal"/>
              <w:spacing w:lineRule="auto" w:line="240" w:before="0" w:after="0"/>
              <w:ind w:firstLine="311"/>
              <w:jc w:val="both"/>
              <w:rPr>
                <w:rFonts w:ascii="Times New Roman" w:hAnsi="Times New Roman"/>
                <w:sz w:val="24"/>
                <w:szCs w:val="24"/>
              </w:rPr>
            </w:pPr>
            <w:r>
              <w:rPr>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w:t>
            </w:r>
            <w:r>
              <w:rPr>
                <w:sz w:val="24"/>
                <w:szCs w:val="24"/>
              </w:rPr>
              <w:t xml:space="preserve"> </w:t>
            </w:r>
            <w:r>
              <w:rPr>
                <w:sz w:val="24"/>
                <w:szCs w:val="24"/>
                <w:lang w:val="en-US"/>
              </w:rPr>
              <w:t>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 xml:space="preserve">Согласно информации, содержащейся </w:t>
              <w:br/>
              <w:t xml:space="preserve">в градостроительном плане земельного участка </w:t>
              <w:br/>
              <w:t>от 04.06.2025 № РФ-59-2-03-0-00-2025-1281-0 (далее – ГПЗУ), предельная высота зданий, строений не более 10,5 м (документация по планировке территории, утвержденная приказом министерства по управлению имуществом и градостроительной деятельности Пермского края от 31.08.2022 № 31-02-1-4-1686).</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11"/>
              <w:jc w:val="both"/>
              <w:rPr>
                <w:rFonts w:ascii="Times New Roman" w:hAnsi="Times New Roman"/>
                <w:sz w:val="24"/>
                <w:highlight w:val="white"/>
              </w:rPr>
            </w:pPr>
            <w:r>
              <w:rPr>
                <w:sz w:val="24"/>
                <w:highlight w:val="white"/>
              </w:rPr>
              <w:t>Максимальный процент застройки в границах Участка – 30%.</w:t>
            </w:r>
          </w:p>
          <w:p>
            <w:pPr>
              <w:pStyle w:val="Normal"/>
              <w:spacing w:lineRule="auto" w:line="240" w:before="0" w:after="0"/>
              <w:ind w:firstLine="311"/>
              <w:jc w:val="both"/>
              <w:rPr>
                <w:rFonts w:ascii="Times New Roman" w:hAnsi="Times New Roman"/>
                <w:sz w:val="24"/>
                <w:highlight w:val="white"/>
              </w:rPr>
            </w:pPr>
            <w:r>
              <w:rPr>
                <w:color w:val="000000"/>
                <w:sz w:val="24"/>
                <w:szCs w:val="24"/>
                <w:highlight w:val="white"/>
                <w:lang w:val="en-US"/>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252"/>
              <w:jc w:val="both"/>
              <w:rPr>
                <w:highlight w:val="none"/>
              </w:rPr>
            </w:pPr>
            <w:r>
              <w:rPr/>
            </w:r>
          </w:p>
          <w:p>
            <w:pPr>
              <w:pStyle w:val="Normal"/>
              <w:ind w:firstLine="252"/>
              <w:jc w:val="both"/>
              <w:rPr>
                <w:highlight w:val="none"/>
              </w:rPr>
            </w:pPr>
            <w:r>
              <w:rPr>
                <w:sz w:val="24"/>
                <w:szCs w:val="24"/>
              </w:rPr>
              <w:t xml:space="preserve">В </w:t>
            </w:r>
            <w:r>
              <w:rPr>
                <w:sz w:val="24"/>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9" w:tgtFrame="http://www.gorodperm.ru/">
              <w:r>
                <w:rPr>
                  <w:rStyle w:val="Hyperlink"/>
                  <w:sz w:val="24"/>
                  <w:szCs w:val="24"/>
                </w:rPr>
                <w:t>www.gorodperm.ru</w:t>
              </w:r>
            </w:hyperlink>
            <w:r>
              <w:rPr>
                <w:sz w:val="24"/>
                <w:szCs w:val="24"/>
              </w:rPr>
              <w:t>.</w:t>
            </w:r>
          </w:p>
          <w:p>
            <w:pPr>
              <w:pStyle w:val="Normal"/>
              <w:ind w:firstLine="252"/>
              <w:jc w:val="both"/>
              <w:rPr>
                <w:sz w:val="24"/>
                <w:szCs w:val="24"/>
              </w:rPr>
            </w:pPr>
            <w:r>
              <w:rPr>
                <w:sz w:val="24"/>
                <w:szCs w:val="24"/>
              </w:rPr>
            </w:r>
          </w:p>
          <w:p>
            <w:pPr>
              <w:pStyle w:val="Normal"/>
              <w:spacing w:lineRule="auto" w:line="240" w:before="0" w:after="0"/>
              <w:ind w:firstLine="311"/>
              <w:jc w:val="both"/>
              <w:rPr>
                <w:rFonts w:ascii="Times New Roman" w:hAnsi="Times New Roman"/>
                <w:spacing w:val="0"/>
                <w:sz w:val="24"/>
                <w:highlight w:val="white"/>
              </w:rPr>
            </w:pPr>
            <w:r>
              <w:rPr>
                <w:spacing w:val="0"/>
                <w:sz w:val="24"/>
                <w:highlight w:val="white"/>
              </w:rPr>
              <w:t>О возможности подключения (технологического присоединения) к сетям электроснабжения объекта капитального строительства присоединяемой мощностью 15 кВт сообщается следующее.</w:t>
            </w:r>
          </w:p>
          <w:p>
            <w:pPr>
              <w:pStyle w:val="Normal"/>
              <w:spacing w:lineRule="auto" w:line="240" w:before="0" w:after="0"/>
              <w:ind w:firstLine="311"/>
              <w:jc w:val="both"/>
              <w:rPr>
                <w:rFonts w:ascii="Times New Roman" w:hAnsi="Times New Roman"/>
                <w:spacing w:val="0"/>
                <w:sz w:val="24"/>
                <w:szCs w:val="24"/>
                <w:highlight w:val="none"/>
              </w:rPr>
            </w:pPr>
            <w:r>
              <w:rPr>
                <w:spacing w:val="0"/>
                <w:sz w:val="24"/>
                <w:highlight w:val="white"/>
              </w:rPr>
              <w:t xml:space="preserve">Порядок технологического присоединения </w:t>
              <w:br/>
              <w:t>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(далее-Правила ТП).</w:t>
            </w:r>
          </w:p>
          <w:p>
            <w:pPr>
              <w:pStyle w:val="Normal"/>
              <w:spacing w:lineRule="auto" w:line="240" w:before="0" w:after="0"/>
              <w:ind w:firstLine="311"/>
              <w:jc w:val="both"/>
              <w:rPr>
                <w:rFonts w:ascii="Times New Roman" w:hAnsi="Times New Roman"/>
                <w:spacing w:val="0"/>
                <w:sz w:val="24"/>
                <w:szCs w:val="24"/>
                <w:highlight w:val="none"/>
              </w:rPr>
            </w:pPr>
            <w:r>
              <w:rPr>
                <w:spacing w:val="0"/>
                <w:sz w:val="24"/>
                <w:szCs w:val="24"/>
              </w:rPr>
              <w:t xml:space="preserve">Для получения технических условий и заключения договора на технологическое присоединение необходимо направить в адрес филиала </w:t>
            </w:r>
            <w:r>
              <w:rPr>
                <w:color w:val="131313"/>
                <w:spacing w:val="0"/>
                <w:sz w:val="24"/>
                <w:szCs w:val="24"/>
              </w:rPr>
              <w:t xml:space="preserve">ПAO </w:t>
            </w:r>
            <w:r>
              <w:rPr>
                <w:color w:val="1A1A1A"/>
                <w:spacing w:val="0"/>
                <w:sz w:val="24"/>
                <w:szCs w:val="24"/>
              </w:rPr>
              <w:t xml:space="preserve">«Россети </w:t>
            </w:r>
            <w:r>
              <w:rPr>
                <w:spacing w:val="0"/>
                <w:sz w:val="24"/>
                <w:szCs w:val="24"/>
              </w:rPr>
              <w:t xml:space="preserve">Урал» - «Пермэнерго» соответствующую заявку на технологическое присоединение с указанием сведений и приложением необходимых документов </w:t>
            </w:r>
            <w:r>
              <w:rPr>
                <w:color w:val="0F0F0F"/>
                <w:spacing w:val="0"/>
                <w:sz w:val="24"/>
                <w:szCs w:val="24"/>
              </w:rPr>
              <w:t xml:space="preserve">в </w:t>
            </w:r>
            <w:r>
              <w:rPr>
                <w:spacing w:val="0"/>
                <w:sz w:val="24"/>
                <w:szCs w:val="24"/>
              </w:rPr>
              <w:t>соответствии с Правилами TП.</w:t>
            </w:r>
          </w:p>
          <w:p>
            <w:pPr>
              <w:pStyle w:val="Normal"/>
              <w:spacing w:lineRule="auto" w:line="240" w:before="0" w:after="0"/>
              <w:ind w:firstLine="311"/>
              <w:jc w:val="both"/>
              <w:rPr>
                <w:rFonts w:ascii="Times New Roman" w:hAnsi="Times New Roman"/>
                <w:spacing w:val="0"/>
                <w:sz w:val="24"/>
                <w:szCs w:val="24"/>
                <w:highlight w:val="none"/>
              </w:rPr>
            </w:pPr>
            <w:r>
              <w:rPr>
                <w:spacing w:val="0"/>
                <w:sz w:val="24"/>
                <w:szCs w:val="24"/>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311"/>
              <w:jc w:val="both"/>
              <w:rPr>
                <w:rFonts w:ascii="Times New Roman" w:hAnsi="Times New Roman"/>
                <w:spacing w:val="0"/>
                <w:sz w:val="24"/>
                <w:highlight w:val="yellow"/>
              </w:rPr>
            </w:pPr>
            <w:r>
              <w:rPr>
                <w:spacing w:val="0"/>
                <w:sz w:val="24"/>
                <w:szCs w:val="24"/>
              </w:rPr>
              <w:t>Заявку на технологическое присоединение можно подать через единый федеральный портал электросетевых услуг группы компаний «Россети» – ПОРТАЛ-ТП.РФ</w:t>
            </w:r>
            <w:r>
              <w:rPr>
                <w:spacing w:val="0"/>
                <w:sz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 xml:space="preserve">Филиала ПАО «Россети Урал» - «Пермэнерго» </w:t>
            </w:r>
            <w:r>
              <w:rPr>
                <w:spacing w:val="0"/>
                <w:sz w:val="24"/>
                <w:szCs w:val="24"/>
                <w:highlight w:val="white"/>
              </w:rPr>
              <w:t>от 09.06.2025 № ПЭ/ПГЭС/01/01/6853).</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Техническая возможность подключения объекта капитального строительства с предполагаемой максимальной нагрузкой (часовым расходом газа) 8м</w:t>
            </w:r>
            <w:r>
              <w:rPr>
                <w:spacing w:val="0"/>
                <w:sz w:val="24"/>
                <w:szCs w:val="24"/>
                <w:highlight w:val="white"/>
                <w:vertAlign w:val="superscript"/>
              </w:rPr>
              <w:t>3</w:t>
            </w:r>
            <w:r>
              <w:rPr>
                <w:spacing w:val="0"/>
                <w:sz w:val="24"/>
                <w:szCs w:val="24"/>
                <w:highlight w:val="white"/>
              </w:rPr>
              <w:t>/час к существующим сетям газораспределения имеется.</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Для рассмотрения вопроса о предоставлении технических условий на подключение (технологическое присоединение) необходимо направить заявку с приложением необходимых документов в соответствии с постановлением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АО «Газпром газораспределение Пермь»</w:t>
            </w:r>
            <w:r>
              <w:rPr>
                <w:spacing w:val="0"/>
                <w:sz w:val="24"/>
                <w:szCs w:val="24"/>
                <w:highlight w:val="white"/>
              </w:rPr>
              <w:t>от 27.05.2025 № ПФ-3542).</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pacing w:val="0"/>
                <w:sz w:val="24"/>
                <w:szCs w:val="24"/>
                <w:highlight w:val="white"/>
                <w14:ligatures w14:val="none"/>
              </w:rPr>
            </w:pPr>
            <w:r>
              <w:rPr>
                <w:spacing w:val="0"/>
                <w:sz w:val="24"/>
                <w:szCs w:val="24"/>
                <w:highlight w:val="white"/>
              </w:rPr>
              <w:t xml:space="preserve">Ближайшей сетью водоснабжения, эксплуатируемой </w:t>
              <w:br/>
              <w:t>ООО «НОВОГОР-Прикамье», является водопровод, Д-63 мм, по ул. Калгановская, расстояние от земельного участка - 60 п.м. Ввиду отсутствия данных о посадке объекта, протяженность до водовода Д-63 мм по ул. Калгановская указана ориентировочно.</w:t>
            </w:r>
          </w:p>
          <w:p>
            <w:pPr>
              <w:pStyle w:val="Normal"/>
              <w:spacing w:lineRule="auto" w:line="240" w:before="0" w:after="0"/>
              <w:ind w:firstLine="311"/>
              <w:jc w:val="both"/>
              <w:rPr>
                <w:rFonts w:ascii="Times New Roman" w:hAnsi="Times New Roman"/>
                <w:spacing w:val="0"/>
                <w:sz w:val="24"/>
                <w:szCs w:val="24"/>
                <w:highlight w:val="white"/>
                <w14:ligatures w14:val="none"/>
              </w:rPr>
            </w:pPr>
            <w:r>
              <w:rPr>
                <w:spacing w:val="0"/>
                <w:sz w:val="24"/>
                <w:szCs w:val="24"/>
                <w:highlight w:val="white"/>
              </w:rPr>
              <w:t>В связи с тем, что в месте расположения земельного участка отсутствуют цeнтpaлизoвaнныe сети канализации, может быть применен альтернативный способ канализования, без подключения к централизованной системе канализации г. Перми (отвод стоков возможен на локальные очистные сооружения, либо в выгребную яму с последующим вывозом стоков спец. машинами), при этом состав канализационных стоков должен соответствовать всем нормативным требованиям Российской Федерации.</w:t>
            </w:r>
          </w:p>
          <w:p>
            <w:pPr>
              <w:pStyle w:val="Normal"/>
              <w:spacing w:lineRule="auto" w:line="240" w:before="0" w:after="0"/>
              <w:ind w:firstLine="311"/>
              <w:jc w:val="both"/>
              <w:rPr>
                <w:rFonts w:ascii="Times New Roman" w:hAnsi="Times New Roman"/>
                <w:spacing w:val="0"/>
                <w:sz w:val="24"/>
                <w:szCs w:val="24"/>
                <w:highlight w:val="white"/>
                <w14:ligatures w14:val="none"/>
              </w:rPr>
            </w:pPr>
            <w:r>
              <w:rPr>
                <w:spacing w:val="0"/>
                <w:sz w:val="24"/>
                <w:szCs w:val="24"/>
                <w:highlight w:val="white"/>
              </w:rPr>
              <w:t>Для сведения сообщаем: в границах вышеуказанного земельного участка отсутствуют централизованные сети водопровода и канализации, эксплуатируемые ООО «НОВОГОР-Прикамье».</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ООО «НОВО</w:t>
            </w:r>
            <w:bookmarkStart w:id="0" w:name="undefined_Копия_1"/>
            <w:bookmarkEnd w:id="0"/>
            <w:r>
              <w:rPr>
                <w:b/>
                <w:spacing w:val="0"/>
                <w:sz w:val="24"/>
                <w:szCs w:val="24"/>
                <w:highlight w:val="white"/>
              </w:rPr>
              <w:t xml:space="preserve">ГОР-Прикамье» </w:t>
            </w:r>
            <w:r>
              <w:rPr>
                <w:spacing w:val="0"/>
                <w:sz w:val="24"/>
                <w:szCs w:val="24"/>
                <w:highlight w:val="white"/>
              </w:rPr>
              <w:t>от 30.05.2025 № 110-7720).</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pacing w:val="0"/>
                <w:sz w:val="24"/>
                <w:szCs w:val="24"/>
                <w:highlight w:val="none"/>
              </w:rPr>
            </w:pPr>
            <w:r>
              <w:rPr>
                <w:spacing w:val="0"/>
                <w:sz w:val="24"/>
                <w:szCs w:val="24"/>
                <w:highlight w:val="white"/>
              </w:rPr>
              <w:t>Объект находится вне зоны теплоснабжения ПАО «Т Плюс».</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Филиала «Пермский ПАО «Т Плюс»</w:t>
            </w:r>
            <w:r>
              <w:rPr>
                <w:spacing w:val="0"/>
                <w:sz w:val="24"/>
                <w:szCs w:val="24"/>
                <w:highlight w:val="white"/>
              </w:rPr>
              <w:t xml:space="preserve"> от 29.05.2025 № 51000-32-01859).</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40"/>
              <w:jc w:val="both"/>
              <w:rPr>
                <w:rFonts w:ascii="Times New Roman" w:hAnsi="Times New Roman"/>
                <w:spacing w:val="0"/>
                <w:sz w:val="24"/>
                <w:szCs w:val="24"/>
                <w:highlight w:val="white"/>
              </w:rPr>
            </w:pPr>
            <w:r>
              <w:rPr>
                <w:b/>
                <w:bCs/>
                <w:spacing w:val="0"/>
                <w:sz w:val="24"/>
                <w:szCs w:val="24"/>
                <w:highlight w:val="white"/>
              </w:rPr>
              <w:t>Департамент жилищно-коммунального хозяйства</w:t>
            </w:r>
            <w:r>
              <w:rPr>
                <w:spacing w:val="0"/>
                <w:sz w:val="24"/>
                <w:szCs w:val="24"/>
                <w:highlight w:val="white"/>
              </w:rPr>
              <w:t xml:space="preserve">  от 02.06.2025 № 059-04-25/3-77-ри и </w:t>
            </w:r>
            <w:r>
              <w:rPr>
                <w:b/>
                <w:bCs/>
                <w:spacing w:val="0"/>
                <w:sz w:val="24"/>
                <w:szCs w:val="24"/>
                <w:highlight w:val="white"/>
              </w:rPr>
              <w:t>администрация Мотовилихинского района города Перми</w:t>
            </w:r>
            <w:r>
              <w:rPr>
                <w:spacing w:val="0"/>
                <w:sz w:val="24"/>
                <w:szCs w:val="24"/>
                <w:highlight w:val="white"/>
              </w:rPr>
              <w:t xml:space="preserve"> от 30.05.2025 № 059-36-01-48/3-332 сообщают, что техническая возможность подключения к сетям теплоснабжения отсутствует.</w:t>
            </w:r>
          </w:p>
          <w:p>
            <w:pPr>
              <w:pStyle w:val="Normal"/>
              <w:spacing w:lineRule="auto" w:line="240" w:before="0" w:after="0"/>
              <w:ind w:firstLine="340"/>
              <w:jc w:val="both"/>
              <w:rPr>
                <w:rFonts w:ascii="Times New Roman" w:hAnsi="Times New Roman"/>
                <w:spacing w:val="0"/>
                <w:sz w:val="24"/>
                <w:szCs w:val="24"/>
                <w:highlight w:val="white"/>
              </w:rPr>
            </w:pPr>
            <w:r>
              <w:rPr>
                <w:spacing w:val="0"/>
                <w:sz w:val="24"/>
                <w:szCs w:val="24"/>
                <w:highlight w:val="white"/>
              </w:rPr>
              <w:t>В качестве альтернативного энергоресурса рекомендуется рассмотреть газ и обратиться в Пермский филиал АО «Газпром газораспределение Пермь», либо рассмотреть иные альтернативные энергоресурсы (электричество, дрова, пеллеты).</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(Аналогичная информация отражена в письмах д</w:t>
            </w:r>
            <w:r>
              <w:rPr>
                <w:b/>
                <w:bCs/>
                <w:spacing w:val="0"/>
                <w:sz w:val="24"/>
                <w:szCs w:val="24"/>
                <w:highlight w:val="white"/>
              </w:rPr>
              <w:t>епартамента жилищно-коммунального хозяйства</w:t>
            </w:r>
            <w:r>
              <w:rPr>
                <w:spacing w:val="0"/>
                <w:sz w:val="24"/>
                <w:szCs w:val="24"/>
                <w:highlight w:val="white"/>
              </w:rPr>
              <w:t xml:space="preserve">  от 02.06.2025 № 059-04-25/3-77-ри и </w:t>
            </w:r>
            <w:r>
              <w:rPr>
                <w:b/>
                <w:bCs/>
                <w:spacing w:val="0"/>
                <w:sz w:val="24"/>
                <w:szCs w:val="24"/>
                <w:highlight w:val="white"/>
              </w:rPr>
              <w:t>администрация Мотовилихинского района города Перми</w:t>
            </w:r>
            <w:r>
              <w:rPr>
                <w:spacing w:val="0"/>
                <w:sz w:val="24"/>
                <w:szCs w:val="24"/>
                <w:highlight w:val="white"/>
              </w:rPr>
              <w:t xml:space="preserve"> от 30.05.2025 № 059-36-01-48/3-332).</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pacing w:val="0"/>
                <w:sz w:val="24"/>
                <w:szCs w:val="24"/>
                <w:highlight w:val="white"/>
              </w:rPr>
            </w:pPr>
            <w:r>
              <w:rPr>
                <w:b w:val="false"/>
                <w:bCs w:val="false"/>
                <w:spacing w:val="0"/>
                <w:sz w:val="24"/>
                <w:szCs w:val="24"/>
                <w:highlight w:val="white"/>
                <w14:ligatures w14:val="none"/>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на период до 2028 года предусмотрено строительство сетей водоснабжения в мкр. Вышка 1.</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(Аналогичная информация отражена в письме д</w:t>
            </w:r>
            <w:r>
              <w:rPr>
                <w:b/>
                <w:bCs/>
                <w:spacing w:val="0"/>
                <w:sz w:val="24"/>
                <w:szCs w:val="24"/>
                <w:highlight w:val="white"/>
              </w:rPr>
              <w:t xml:space="preserve">епартамента жилищно-коммунального хозяйства администрации города Перми </w:t>
            </w:r>
            <w:r>
              <w:rPr>
                <w:b w:val="false"/>
                <w:bCs w:val="false"/>
                <w:spacing w:val="0"/>
                <w:sz w:val="24"/>
                <w:szCs w:val="24"/>
                <w:highlight w:val="white"/>
                <w14:ligatures w14:val="none"/>
              </w:rPr>
              <w:t xml:space="preserve"> от 05.06.2025 № 059-04-17/3-482-ри</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rPr>
              <w:t xml:space="preserve">По условиям пункта 4.3 проекта договора аренды земельного участка, приобретаемого на торгах в форме аукциона, для строительства (Приложение 1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(далее – ЗК РФ), обязан до подписания договора уплатить ежегодный размер арендной платы, указанный в п. 4.2 договора </w:t>
              <w:br/>
              <w:t xml:space="preserve">(за вычетом задатка, внесенного для участия </w:t>
              <w:br/>
              <w:t xml:space="preserve">в аукционе) </w:t>
            </w:r>
            <w:r>
              <w:rPr>
                <w:b/>
                <w:bCs/>
                <w:sz w:val="24"/>
                <w:szCs w:val="24"/>
              </w:rPr>
              <w:t xml:space="preserve">за 1 год </w:t>
            </w:r>
            <w:r>
              <w:rPr>
                <w:b w:val="false"/>
                <w:bCs w:val="false"/>
                <w:sz w:val="24"/>
                <w:szCs w:val="24"/>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w:t>
            </w:r>
            <w:r>
              <w:rPr>
                <w:b w:val="false"/>
                <w:bCs w:val="false"/>
                <w:sz w:val="24"/>
                <w:szCs w:val="24"/>
                <w:shd w:fill="auto" w:val="clear"/>
              </w:rPr>
              <w:t>реквизиты которого указаны в проекте договора аренды земельного участка (Приложение 1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257 000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12 850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highlight w:val="none"/>
                <w:shd w:fill="auto" w:val="clear"/>
              </w:rPr>
            </w:pPr>
            <w:r>
              <w:rPr>
                <w:b/>
                <w:bCs/>
                <w:color w:val="000000"/>
                <w:sz w:val="24"/>
                <w:szCs w:val="24"/>
                <w:shd w:fill="auto" w:val="clear"/>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128 500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hd w:fill="auto" w:val="clear"/>
                <w:lang w:val="en-US" w:eastAsia="en-US"/>
              </w:rPr>
              <w:t>сайтах www.torgi.gov.ru, www.gorodperm.ru</w:t>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20.05.2025</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1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rFonts w:eastAsia="Courier New"/>
          <w:b/>
          <w:bCs/>
          <w:highlight w:val="none"/>
          <w:lang w:bidi="ru-RU"/>
        </w:rPr>
      </w:pPr>
      <w:r>
        <w:rPr>
          <w:rFonts w:eastAsia="Courier New"/>
          <w:b/>
          <w:bCs/>
          <w:lang w:bidi="ru-RU"/>
        </w:rPr>
        <w:t>Лот № 2</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Droid Sans Fallback" w:cs="Lohit Devanagari"/>
                <w:color w:val="auto"/>
                <w:sz w:val="20"/>
                <w:szCs w:val="24"/>
                <w:lang w:val="ru-RU" w:eastAsia="zh-CN" w:bidi="ar-SA"/>
              </w:rPr>
              <w:t xml:space="preserve"> </w:t>
            </w:r>
            <w:r>
              <w:rPr>
                <w:rFonts w:eastAsia="Droid Sans Fallback" w:cs="Lohit Devanagari"/>
                <w:color w:val="auto"/>
                <w:sz w:val="24"/>
                <w:szCs w:val="28"/>
                <w:lang w:val="ru-RU" w:eastAsia="zh-CN" w:bidi="ar-SA"/>
              </w:rPr>
              <w:t>от 01 августа 2025 г. № 21-01-03-6201  «О проведении аукциона на право заключения договора аренды земельного участка в Орджоникидзевском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Пермский край, р-н Орджоникидзевский, г. Пермь,                          ул. Верхневолжская, 7</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1208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59:01:3810424:8</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17.10.2025г.                             № КУВИ-001/2025-193201411 (далее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18.07.2025 № РФ-59-2-03-0-00-2025-1695-0 (далее – ГПЗУ).</w:t>
            </w:r>
          </w:p>
          <w:p>
            <w:pPr>
              <w:pStyle w:val="Normal"/>
              <w:jc w:val="both"/>
              <w:rPr>
                <w:sz w:val="24"/>
                <w:szCs w:val="24"/>
              </w:rPr>
            </w:pPr>
            <w:r>
              <w:rPr>
                <w:sz w:val="24"/>
                <w:szCs w:val="24"/>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 xml:space="preserve">В соответствии со сведениями из ЕГРН в границах Участка расположен объект капитального строительства с кадастровым номером 59:01:0000000:77564 – </w:t>
            </w:r>
            <w:r>
              <w:rPr>
                <w:color w:val="000000"/>
                <w:sz w:val="24"/>
                <w:highlight w:val="white"/>
              </w:rPr>
              <w:t>сооружение электроэнергетики.</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highlight w:val="white"/>
              </w:rPr>
              <w:t>В соответствии с пунктом 8 статьи 39.11 Земельного кодекса Российской Федерации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Кодекса.</w:t>
            </w:r>
          </w:p>
          <w:p>
            <w:pPr>
              <w:pStyle w:val="Normal"/>
              <w:spacing w:lineRule="auto" w:line="240" w:before="0" w:after="0"/>
              <w:ind w:firstLine="283" w:left="0" w:right="0"/>
              <w:jc w:val="both"/>
              <w:rPr>
                <w:rFonts w:ascii="Times New Roman" w:hAnsi="Times New Roman"/>
                <w:sz w:val="24"/>
                <w:szCs w:val="24"/>
                <w:highlight w:val="none"/>
              </w:rPr>
            </w:pPr>
            <w:r>
              <w:rPr>
                <w:color w:themeColor="text1" w:val="000000"/>
                <w:sz w:val="24"/>
                <w:szCs w:val="24"/>
                <w:highlight w:val="white"/>
              </w:rPr>
              <w:t>Учитывая, что указанные линейные объекты могут размещаться на основании сервитута, публичного сервитута, в соответствии со статьей 39.36 Кодекса, наличие таких объектов на земельном участке не является основанием для отказа в предоставлении земельного участка на торгах.</w:t>
            </w:r>
          </w:p>
          <w:p>
            <w:pPr>
              <w:pStyle w:val="Normal"/>
              <w:spacing w:lineRule="auto" w:line="240" w:before="0" w:after="0"/>
              <w:ind w:firstLine="283" w:left="0" w:right="0"/>
              <w:jc w:val="both"/>
              <w:rPr>
                <w:rFonts w:ascii="Times New Roman" w:hAnsi="Times New Roman"/>
                <w:sz w:val="24"/>
                <w:szCs w:val="24"/>
                <w:highlight w:val="none"/>
              </w:rPr>
            </w:pPr>
            <w:r>
              <w:rPr>
                <w:sz w:val="24"/>
                <w:szCs w:val="24"/>
              </w:rPr>
            </w:r>
          </w:p>
          <w:p>
            <w:pPr>
              <w:pStyle w:val="Normal"/>
              <w:spacing w:lineRule="auto" w:line="240" w:before="0" w:after="0"/>
              <w:ind w:firstLine="311"/>
              <w:jc w:val="both"/>
              <w:rPr>
                <w:rFonts w:ascii="Times New Roman" w:hAnsi="Times New Roman"/>
                <w:sz w:val="24"/>
                <w:szCs w:val="24"/>
                <w14:ligatures w14:val="none"/>
              </w:rPr>
            </w:pPr>
            <w:r>
              <w:rPr>
                <w:sz w:val="24"/>
                <w:szCs w:val="24"/>
              </w:rPr>
              <w:t>Согласно копии планшета М 1:500 (требующего корректуры) в границах Участка расположен забор.</w:t>
            </w:r>
          </w:p>
          <w:p>
            <w:pPr>
              <w:pStyle w:val="Normal"/>
              <w:spacing w:lineRule="auto" w:line="240" w:before="0" w:after="0"/>
              <w:ind w:firstLine="340"/>
              <w:jc w:val="both"/>
              <w:rPr>
                <w:rFonts w:ascii="Times New Roman" w:hAnsi="Times New Roman"/>
                <w:sz w:val="24"/>
                <w:szCs w:val="24"/>
                <w:highlight w:val="none"/>
              </w:rPr>
            </w:pPr>
            <w:r>
              <w:rPr>
                <w:sz w:val="24"/>
                <w:szCs w:val="24"/>
              </w:rPr>
            </w:r>
          </w:p>
          <w:p>
            <w:pPr>
              <w:pStyle w:val="Normal"/>
              <w:spacing w:lineRule="auto" w:line="240" w:before="0" w:after="0"/>
              <w:ind w:firstLine="311"/>
              <w:jc w:val="both"/>
              <w:rPr>
                <w:rFonts w:ascii="Times New Roman" w:hAnsi="Times New Roman"/>
                <w:sz w:val="24"/>
                <w:szCs w:val="24"/>
              </w:rPr>
            </w:pPr>
            <w:r>
              <w:rPr>
                <w:sz w:val="24"/>
                <w:szCs w:val="24"/>
              </w:rPr>
              <w:t>Состояние рельефа Участка</w:t>
            </w:r>
            <w:r>
              <w:rPr>
                <w:sz w:val="24"/>
                <w:szCs w:val="24"/>
                <w:highlight w:val="white"/>
              </w:rPr>
              <w:t xml:space="preserve"> ровное. </w:t>
            </w:r>
            <w:r>
              <w:rPr>
                <w:sz w:val="24"/>
                <w:szCs w:val="24"/>
              </w:rPr>
              <w:t>На Участке произрастают кустарники и многолетние лиственные деревья.</w:t>
            </w:r>
          </w:p>
          <w:p>
            <w:pPr>
              <w:pStyle w:val="Normal"/>
              <w:spacing w:lineRule="auto" w:line="240" w:before="0" w:after="0"/>
              <w:ind w:firstLine="311"/>
              <w:jc w:val="both"/>
              <w:rPr/>
            </w:pPr>
            <w:r>
              <w:rPr>
                <w:sz w:val="24"/>
                <w:szCs w:val="24"/>
              </w:rPr>
              <w:t>Близлежащий пожарные гидранты, относительно вышеуказанного земельного участка, расположены по адресу: Пермский край, г. Пермь, Орджоникидзевский район,                     ул. Щербакова, 89, ул. Верхоянская, 33, пер. Серго, 1а,                    ул. Лянгасова.</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дминистрации Орджоникидзевского района города Перми</w:t>
            </w:r>
            <w:r>
              <w:rPr>
                <w:spacing w:val="0"/>
                <w:sz w:val="24"/>
                <w:szCs w:val="24"/>
                <w:highlight w:val="white"/>
              </w:rPr>
              <w:t xml:space="preserve"> </w:t>
              <w:br/>
              <w:t>от 17.07.2025 № 059-37-01-32/3-3547,  в акте обследования от 08.07.2025 № 74).</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z w:val="24"/>
                <w:szCs w:val="24"/>
              </w:rPr>
            </w:pPr>
            <w:r>
              <w:rPr>
                <w:sz w:val="24"/>
                <w:szCs w:val="24"/>
              </w:rPr>
              <w:t xml:space="preserve">Согласно сведениям, содержащимся в ГПЗУ, ЕГРН </w:t>
              <w:br/>
              <w:t>и справке по градостроительным условиям от 17.10.2025 650848, Участок расположен в границах зоны с особыми условиями использования территории:</w:t>
            </w:r>
          </w:p>
          <w:p>
            <w:pPr>
              <w:pStyle w:val="Normal"/>
              <w:spacing w:lineRule="auto" w:line="240" w:before="0" w:after="0"/>
              <w:ind w:firstLine="340"/>
              <w:jc w:val="both"/>
              <w:rPr/>
            </w:pPr>
            <w:r>
              <w:rPr>
                <w:color w:themeColor="text1" w:val="000000"/>
                <w:sz w:val="24"/>
                <w:szCs w:val="24"/>
              </w:rPr>
              <w:t>частично охранная зона газопроводов низкого давления, реестровый номер 59:01-6.6550, площадью 1 кв.м.</w:t>
            </w:r>
          </w:p>
          <w:p>
            <w:pPr>
              <w:pStyle w:val="Normal"/>
              <w:spacing w:lineRule="auto" w:line="240" w:before="0" w:after="0"/>
              <w:ind w:firstLine="340"/>
              <w:jc w:val="both"/>
              <w:rPr/>
            </w:pPr>
            <w:r>
              <w:rPr>
                <w:color w:themeColor="text1" w:val="000000"/>
                <w:sz w:val="24"/>
                <w:szCs w:val="24"/>
              </w:rPr>
              <w:t>частично охранная зона газопровода низкого давления до границ земельного участка по адресу: Пермский край,город Пермь, Орджоникидзевский район, улица Александра Щербакова, 98, кадастровый номер 59:01:0000000:82536, реестровый номер 59:01-6.5809, площадью 16 кв.м.;</w:t>
            </w:r>
          </w:p>
          <w:p>
            <w:pPr>
              <w:pStyle w:val="Normal"/>
              <w:spacing w:lineRule="auto" w:line="240" w:before="0" w:after="0"/>
              <w:ind w:firstLine="340"/>
              <w:jc w:val="both"/>
              <w:rPr/>
            </w:pPr>
            <w:r>
              <w:rPr>
                <w:color w:themeColor="text1" w:val="000000"/>
                <w:spacing w:val="-6"/>
                <w:sz w:val="24"/>
                <w:szCs w:val="24"/>
              </w:rPr>
              <w:t>частично охранная зона объекта: «Электросетевой комплекс Подстанция 100/6 кВ «Северная» (ВЛ 0,4 кВ от КТП 4337), реестровый номер 59:01-6.3762, площадью 143 кв.м.</w:t>
            </w:r>
          </w:p>
          <w:p>
            <w:pPr>
              <w:pStyle w:val="Normal"/>
              <w:spacing w:lineRule="auto" w:line="240" w:before="0" w:after="0"/>
              <w:ind w:firstLine="340"/>
              <w:jc w:val="both"/>
              <w:rPr>
                <w:rFonts w:ascii="Times New Roman" w:hAnsi="Times New Roman"/>
                <w:color w:themeColor="text1" w:val="000000"/>
                <w:sz w:val="24"/>
                <w:szCs w:val="24"/>
                <w:highlight w:val="none"/>
              </w:rPr>
            </w:pPr>
            <w:r>
              <w:rPr>
                <w:color w:themeColor="text1" w:val="000000"/>
                <w:sz w:val="24"/>
                <w:szCs w:val="24"/>
              </w:rPr>
              <w:t xml:space="preserve">Проектирование и строительство вести </w:t>
              <w:br/>
              <w:t>в соответствии:</w:t>
            </w:r>
          </w:p>
          <w:p>
            <w:pPr>
              <w:pStyle w:val="Normal"/>
              <w:spacing w:lineRule="auto" w:line="240" w:before="0" w:after="0"/>
              <w:ind w:firstLine="340"/>
              <w:jc w:val="both"/>
              <w:rPr/>
            </w:pPr>
            <w:r>
              <w:rPr>
                <w:color w:themeColor="text1" w:val="000000"/>
                <w:sz w:val="24"/>
                <w:szCs w:val="24"/>
              </w:rPr>
              <w:t>с постановлением Правительства Российской Федерации от 20.11.2000 г. N 878 «Об утверждении правил охраны газораспределительных сетей»;</w:t>
            </w:r>
          </w:p>
          <w:p>
            <w:pPr>
              <w:pStyle w:val="Normal"/>
              <w:spacing w:lineRule="auto" w:line="240" w:before="0" w:after="0"/>
              <w:ind w:firstLine="340"/>
              <w:jc w:val="both"/>
              <w:rPr/>
            </w:pPr>
            <w:r>
              <w:rPr>
                <w:color w:themeColor="text1" w:val="000000"/>
                <w:spacing w:val="-6"/>
                <w:sz w:val="24"/>
                <w:szCs w:val="24"/>
              </w:rPr>
              <w:t xml:space="preserve">с постановлением </w:t>
            </w:r>
            <w:r>
              <w:rPr>
                <w:color w:themeColor="text1" w:val="000000"/>
                <w:sz w:val="24"/>
                <w:szCs w:val="24"/>
              </w:rPr>
              <w:t>Правительства Российской Федерации</w:t>
            </w:r>
            <w:r>
              <w:rPr>
                <w:color w:themeColor="text1" w:val="000000"/>
                <w:spacing w:val="-6"/>
                <w:sz w:val="24"/>
                <w:szCs w:val="24"/>
              </w:rPr>
              <w:t xml:space="preserve">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340"/>
              <w:jc w:val="both"/>
              <w:rPr/>
            </w:pPr>
            <w:r>
              <w:rPr/>
              <w:t xml:space="preserve">часть земельного участка площадью 143 кв.м расположена в границах зоны действия публичного сервитута, установленного распоряжением Департамента от 28.03.2022 № 21-01-03-961 </w:t>
              <w:br/>
              <w:t>«Об установлении публичного сервитута в отдельных целях». Реестровый номер границы: 59:01-6.10019</w:t>
            </w:r>
            <w:r>
              <w:rPr>
                <w14:ligatures w14:val="none"/>
              </w:rPr>
              <w:t>, в целях размещения объекта электросетевого хозяйства «Электросетевой комплекс Подстанция 100/6 кВ «Северная» (ВЛ 0,4 кВ от КТП 4337).</w:t>
            </w:r>
          </w:p>
          <w:p>
            <w:pPr>
              <w:pStyle w:val="Normal"/>
              <w:spacing w:lineRule="auto" w:line="240" w:before="0" w:after="0"/>
              <w:ind w:firstLine="340"/>
              <w:jc w:val="both"/>
              <w:rPr>
                <w:rFonts w:ascii="Times New Roman" w:hAnsi="Times New Roman"/>
                <w:sz w:val="24"/>
                <w:szCs w:val="24"/>
              </w:rPr>
            </w:pPr>
            <w:r>
              <w:rPr>
                <w:sz w:val="24"/>
                <w:szCs w:val="24"/>
              </w:rPr>
            </w:r>
          </w:p>
          <w:p>
            <w:pPr>
              <w:pStyle w:val="Normal"/>
              <w:spacing w:lineRule="auto" w:line="240" w:before="0" w:after="0"/>
              <w:ind w:firstLine="340"/>
              <w:jc w:val="both"/>
              <w:rPr>
                <w:rFonts w:ascii="Times New Roman" w:hAnsi="Times New Roman"/>
                <w:sz w:val="24"/>
                <w:szCs w:val="24"/>
              </w:rPr>
            </w:pPr>
            <w:r>
              <w:rPr>
                <w:sz w:val="24"/>
                <w:szCs w:val="24"/>
              </w:rPr>
              <w:t>На Участке произрастает 15 деревьев – береза 2 шт., клен ясенелистный 5 шт., ива 3 шт, тополь — 5 шт..</w:t>
            </w:r>
          </w:p>
          <w:p>
            <w:pPr>
              <w:pStyle w:val="Normal"/>
              <w:spacing w:lineRule="auto" w:line="240" w:before="0" w:after="0"/>
              <w:ind w:firstLine="340"/>
              <w:jc w:val="both"/>
              <w:rPr>
                <w:rFonts w:ascii="Times New Roman" w:hAnsi="Times New Roman"/>
                <w:sz w:val="24"/>
                <w:szCs w:val="24"/>
              </w:rPr>
            </w:pPr>
            <w:r>
              <w:rPr>
                <w:sz w:val="24"/>
                <w:szCs w:val="24"/>
              </w:rPr>
              <w:t>Восстановительная стоимость сносимых зеленых насаждений в ценах 2025 года: одного лиственного дерева от 25 тыс. руб., хвойной – от 30 тыс. руб.</w:t>
            </w:r>
          </w:p>
          <w:p>
            <w:pPr>
              <w:pStyle w:val="Normal"/>
              <w:spacing w:lineRule="auto" w:line="240" w:before="0" w:after="0"/>
              <w:ind w:firstLine="311"/>
              <w:jc w:val="both"/>
              <w:rPr>
                <w:rFonts w:ascii="Times New Roman" w:hAnsi="Times New Roman"/>
                <w:sz w:val="24"/>
                <w:szCs w:val="24"/>
                <w:highlight w:val="yellow"/>
              </w:rPr>
            </w:pPr>
            <w:r>
              <w:rPr>
                <w:rFonts w:eastAsia="Times New Roman" w:cs="Times New Roman"/>
                <w:color w:themeColor="text1" w:val="000000"/>
                <w:spacing w:val="0"/>
                <w:sz w:val="24"/>
              </w:rPr>
              <w:t>Победителю аукциона необходимо соблюдать условия строительства, перечисленные в перечне мероприятий по охране окружающей среды от 21.07.2025 № 224 (прилагается).</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управления по экологии и природопользованию администрации города Перми</w:t>
            </w:r>
            <w:r>
              <w:rPr>
                <w:spacing w:val="0"/>
                <w:sz w:val="24"/>
                <w:szCs w:val="24"/>
                <w:highlight w:val="white"/>
              </w:rPr>
              <w:t xml:space="preserve"> от 22.07.2025 № 059-33-01-10/3-469).</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z w:val="24"/>
              </w:rPr>
            </w:pPr>
            <w:r>
              <w:rPr>
                <w:sz w:val="24"/>
                <w:szCs w:val="24"/>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themeColor="text1" w:val="000000"/>
                <w:sz w:val="24"/>
                <w:szCs w:val="24"/>
                <w:highlight w:val="none"/>
              </w:rPr>
            </w:pPr>
            <w:r>
              <w:rPr>
                <w:rFonts w:eastAsia="Times New Roman" w:cs="Times New Roman"/>
                <w:color w:val="000000"/>
                <w:sz w:val="24"/>
              </w:rPr>
              <w:t>Для примыкания Участка к улично-дорожной сети города Перми н</w:t>
            </w:r>
            <w:r>
              <w:rPr>
                <w:rFonts w:eastAsia="Times New Roman" w:cs="Times New Roman"/>
                <w:color w:themeColor="text1" w:val="000000"/>
                <w:sz w:val="24"/>
              </w:rPr>
              <w:t>еобходимо выполнить условия, указанные в письме (прилагается).</w:t>
            </w:r>
          </w:p>
          <w:p>
            <w:pPr>
              <w:pStyle w:val="Normal"/>
              <w:spacing w:lineRule="auto" w:line="240" w:before="0" w:after="0"/>
              <w:ind w:firstLine="311"/>
              <w:jc w:val="both"/>
              <w:rPr>
                <w:rFonts w:ascii="Times New Roman" w:hAnsi="Times New Roman"/>
                <w:sz w:val="24"/>
                <w:szCs w:val="24"/>
              </w:rPr>
            </w:pPr>
            <w:r>
              <w:rPr>
                <w:sz w:val="24"/>
                <w:szCs w:val="24"/>
              </w:rPr>
              <w:t xml:space="preserve">Также направлена информация о соблюдении Правил благоустройства территории города Перми, утвержденных решением Пермской городской Думы от 15.12.2020 № 277 </w:t>
            </w:r>
            <w:r>
              <w:rPr>
                <w:rFonts w:eastAsia="Times New Roman" w:cs="Times New Roman"/>
                <w:color w:val="000000"/>
                <w:sz w:val="24"/>
                <w:highlight w:val="white"/>
              </w:rPr>
              <w:t>«Об утверждении правил благоустройства территории города Перми»</w:t>
            </w:r>
            <w:r>
              <w:rPr>
                <w:sz w:val="24"/>
                <w:szCs w:val="24"/>
              </w:rPr>
              <w:t xml:space="preserve"> при строительстве объектов недвижимости.</w:t>
            </w:r>
          </w:p>
          <w:p>
            <w:pPr>
              <w:pStyle w:val="Normal"/>
              <w:spacing w:lineRule="auto" w:line="240" w:before="0" w:after="0"/>
              <w:ind w:firstLine="311"/>
              <w:jc w:val="both"/>
              <w:rPr>
                <w:rFonts w:ascii="Times New Roman" w:hAnsi="Times New Roman"/>
                <w:sz w:val="24"/>
                <w:szCs w:val="24"/>
              </w:rPr>
            </w:pPr>
            <w:r>
              <w:rPr>
                <w:sz w:val="24"/>
                <w:szCs w:val="24"/>
              </w:rPr>
              <w:t xml:space="preserve">В соответствии с Федеральным законом от 08.11.2007 № 257 </w:t>
            </w:r>
            <w:r>
              <w:rPr>
                <w:rFonts w:eastAsia="Times New Roman" w:cs="Times New Roman"/>
                <w:color w:val="000000"/>
                <w:sz w:val="24"/>
                <w:szCs w:val="24"/>
                <w:highlight w:val="white"/>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4"/>
                <w:szCs w:val="24"/>
              </w:rPr>
              <w:t xml:space="preserve">, расходы на строительства, реконструкцию, капитальный ремонт, ремонт пересечений и примыканий, в том числе расходы </w:t>
              <w:br/>
              <w:t xml:space="preserve">на выполнение дополнительных работ связанных </w:t>
              <w:br/>
              <w:t>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осуществляется строительство, реконструкция, капитальный ремонт, ремонт пересечений или примыканий.</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департамента дорог и благоустройства администрации города Перми</w:t>
            </w:r>
            <w:r>
              <w:rPr>
                <w:spacing w:val="0"/>
                <w:sz w:val="24"/>
                <w:szCs w:val="24"/>
                <w:highlight w:val="white"/>
              </w:rPr>
              <w:t xml:space="preserve"> от 09.07.2025 № 059-24-01-36/3-2410).</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z w:val="24"/>
                <w:szCs w:val="24"/>
                <w14:ligatures w14:val="none"/>
              </w:rPr>
            </w:pPr>
            <w:r>
              <w:rPr>
                <w:sz w:val="24"/>
                <w:szCs w:val="24"/>
              </w:rPr>
              <w:t>Источники противопожарного водоснабжения (пожарные гидранты на сети водоснабжения) на указанной территории отсутствуют. Ближайший ИПВ расположен на расстоянии 300 м., по адресу: ул. А. Щербакова, 89.</w:t>
            </w:r>
          </w:p>
          <w:p>
            <w:pPr>
              <w:pStyle w:val="Normal"/>
              <w:spacing w:lineRule="auto" w:line="240" w:before="0" w:after="0"/>
              <w:ind w:firstLine="311"/>
              <w:jc w:val="both"/>
              <w:rPr>
                <w:rFonts w:ascii="Times New Roman" w:hAnsi="Times New Roman"/>
                <w:sz w:val="24"/>
                <w:szCs w:val="24"/>
                <w14:ligatures w14:val="none"/>
              </w:rPr>
            </w:pPr>
            <w:r>
              <w:rPr>
                <w:sz w:val="24"/>
                <w:szCs w:val="24"/>
              </w:rPr>
              <w:t xml:space="preserve">Информация о подразделениях пожарной охраны </w:t>
              <w:br/>
              <w:t>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w:t>
            </w:r>
          </w:p>
          <w:p>
            <w:pPr>
              <w:pStyle w:val="Normal"/>
              <w:spacing w:lineRule="auto" w:line="240" w:before="0" w:after="0"/>
              <w:ind w:firstLine="311"/>
              <w:jc w:val="both"/>
              <w:rPr>
                <w:rFonts w:ascii="Times New Roman" w:hAnsi="Times New Roman"/>
                <w:sz w:val="24"/>
                <w:szCs w:val="24"/>
                <w14:ligatures w14:val="none"/>
              </w:rPr>
            </w:pPr>
            <w:r>
              <w:rPr>
                <w:sz w:val="24"/>
                <w:szCs w:val="24"/>
              </w:rPr>
              <w:t xml:space="preserve">Подразделение пожарной охраны расположено </w:t>
              <w:br/>
              <w:t>по адресу: ул. Волховская,37 (ПСЧ-57 10-ПСО).</w:t>
            </w:r>
          </w:p>
          <w:p>
            <w:pPr>
              <w:pStyle w:val="Normal"/>
              <w:spacing w:lineRule="auto" w:line="240" w:before="0" w:after="0"/>
              <w:ind w:firstLine="311"/>
              <w:jc w:val="both"/>
              <w:rPr>
                <w:rFonts w:ascii="Times New Roman" w:hAnsi="Times New Roman"/>
                <w:sz w:val="24"/>
                <w:szCs w:val="24"/>
                <w14:ligatures w14:val="none"/>
              </w:rPr>
            </w:pPr>
            <w:r>
              <w:rPr>
                <w:sz w:val="24"/>
                <w:szCs w:val="24"/>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0" w:after="0"/>
              <w:ind w:firstLine="311"/>
              <w:jc w:val="both"/>
              <w:rPr>
                <w:rFonts w:ascii="Times New Roman" w:hAnsi="Times New Roman"/>
                <w:sz w:val="24"/>
                <w:szCs w:val="24"/>
                <w14:ligatures w14:val="none"/>
              </w:rPr>
            </w:pPr>
            <w:r>
              <w:rPr>
                <w:sz w:val="24"/>
                <w:szCs w:val="24"/>
              </w:rPr>
              <w:t>Объекты общественной безопасности, отнесенные к объектам полиции (участковые пункты полиции) в данном микрорайоне (Фрунзе) отсутствуют. Ближайший участковый пункт расположен по адресу: г. Пермь, ул. Героя Васькина, д. 3, (микрорайон Домостроительный, Орджоникидзевского района).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sz w:val="24"/>
                <w:szCs w:val="24"/>
                <w14:ligatures w14:val="none"/>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департамента общественной безопасности администрации города Перми</w:t>
            </w:r>
            <w:r>
              <w:rPr>
                <w:spacing w:val="0"/>
                <w:sz w:val="24"/>
                <w:szCs w:val="24"/>
                <w:highlight w:val="white"/>
              </w:rPr>
              <w:t xml:space="preserve"> от 08.07.2025 № 059-10-01-27/3-1487).</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0" w:tgtFrame="http://www.gorodperm.ru/">
              <w:r>
                <w:rPr>
                  <w:rStyle w:val="Hyperlink"/>
                  <w:szCs w:val="24"/>
                </w:rPr>
                <w:t>www.gorodperm.ru</w:t>
              </w:r>
            </w:hyperlink>
            <w:r>
              <w:rPr>
                <w:szCs w:val="24"/>
              </w:rPr>
              <w:t>.</w:t>
            </w:r>
          </w:p>
          <w:p>
            <w:pPr>
              <w:pStyle w:val="Normal"/>
              <w:spacing w:lineRule="auto" w:line="240" w:before="0" w:after="0"/>
              <w:ind w:firstLine="311"/>
              <w:jc w:val="both"/>
              <w:rPr>
                <w:rFonts w:ascii="Times New Roman" w:hAnsi="Times New Roman" w:eastAsia="Droid Sans Fallback" w:cs="Lohit Devanagari"/>
                <w:color w:val="auto"/>
                <w:kern w:val="0"/>
                <w:sz w:val="24"/>
                <w:szCs w:val="24"/>
                <w:shd w:fill="FFFFFF" w:val="clear"/>
                <w:lang w:val="ru-RU" w:eastAsia="zh-CN" w:bidi="ar-SA"/>
              </w:rPr>
            </w:pPr>
            <w:r>
              <w:rPr>
                <w:rFonts w:eastAsia="Droid Sans Fallback" w:cs="Lohit Devanagari"/>
                <w:color w:val="000000"/>
                <w:kern w:val="0"/>
                <w:sz w:val="24"/>
                <w:szCs w:val="24"/>
                <w:shd w:fill="FFFFFF" w:val="clear"/>
                <w:lang w:val="ru-RU" w:eastAsia="zh-CN" w:bidi="ar-SA"/>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(ред. от 17.05.2023):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w:t>
            </w:r>
          </w:p>
          <w:p>
            <w:pPr>
              <w:pStyle w:val="Normal"/>
              <w:spacing w:lineRule="auto" w:line="240" w:before="0" w:after="0"/>
              <w:ind w:firstLine="311"/>
              <w:jc w:val="both"/>
              <w:rPr>
                <w:rFonts w:ascii="Times New Roman" w:hAnsi="Times New Roman" w:eastAsia="Droid Sans Fallback" w:cs="Lohit Devanagari"/>
                <w:color w:val="auto"/>
                <w:kern w:val="0"/>
                <w:sz w:val="24"/>
                <w:szCs w:val="24"/>
                <w:shd w:fill="FFFFFF" w:val="clear"/>
                <w:lang w:val="ru-RU" w:eastAsia="zh-CN" w:bidi="ar-SA"/>
              </w:rPr>
            </w:pPr>
            <w:r>
              <w:rPr>
                <w:rFonts w:eastAsia="Droid Sans Fallback" w:cs="Lohit Devanagari"/>
                <w:color w:val="000000"/>
                <w:kern w:val="0"/>
                <w:sz w:val="24"/>
                <w:szCs w:val="24"/>
                <w:shd w:fill="FFFFFF" w:val="clear"/>
                <w:lang w:val="ru-RU" w:eastAsia="zh-CN" w:bidi="ar-SA"/>
              </w:rPr>
              <w:t xml:space="preserve">Согласно пункту 6.1 СП 55.13330.2016 площади помещений строящихся и реконструируемых жилых домов должны быть не менее: общей комнаты в однокомнатном доме - 14 м2, общей комнаты в доме с числом комнат две и более - 16 м2, спальни - 8 м2 (на двух человек - 10 м2); кухни - 8 м2; кухонной зоны </w:t>
              <w:br/>
              <w:t>в кухне-столовой - 6 м2. В домах с одной комнатой допускается проектировать кухни или кухни-ниши площадью не менее 5 м2. Площадь спальни и кухни в мансардном этаже (или этаже с наклонными ограждающими конструкциями) допускается не менее 7 м2 при условии, что общая жилая комната имеет площадь не менее 16 м2.</w:t>
            </w:r>
          </w:p>
          <w:p>
            <w:pPr>
              <w:pStyle w:val="Normal"/>
              <w:spacing w:lineRule="auto" w:line="240" w:before="0" w:after="0"/>
              <w:ind w:firstLine="311"/>
              <w:jc w:val="both"/>
              <w:rPr>
                <w:rFonts w:ascii="Times New Roman" w:hAnsi="Times New Roman" w:eastAsia="Droid Sans Fallback" w:cs="Lohit Devanagari"/>
                <w:color w:val="auto"/>
                <w:kern w:val="0"/>
                <w:sz w:val="24"/>
                <w:szCs w:val="24"/>
                <w:shd w:fill="FFFFFF" w:val="clear"/>
                <w:lang w:val="ru-RU" w:eastAsia="zh-CN" w:bidi="ar-SA"/>
              </w:rPr>
            </w:pPr>
            <w:r>
              <w:rPr>
                <w:rFonts w:eastAsia="Droid Sans Fallback" w:cs="Lohit Devanagari"/>
                <w:color w:val="000000"/>
                <w:kern w:val="0"/>
                <w:sz w:val="24"/>
                <w:szCs w:val="24"/>
                <w:shd w:fill="FFFFFF" w:val="clear"/>
                <w:lang w:val="ru-RU" w:eastAsia="zh-CN" w:bidi="ar-SA"/>
              </w:rPr>
              <w:t xml:space="preserve">Согласно пункту 6.2 СП 55.13330.2016 высота </w:t>
              <w:br/>
              <w:t xml:space="preserve">(от пола до потолка) комнат и кухни (кухни-столовой) </w:t>
              <w:br/>
              <w:t>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Normal"/>
              <w:spacing w:lineRule="auto" w:line="240" w:before="0" w:after="0"/>
              <w:ind w:firstLine="311"/>
              <w:jc w:val="both"/>
              <w:rPr>
                <w:rFonts w:ascii="Times New Roman" w:hAnsi="Times New Roman" w:eastAsia="Droid Sans Fallback" w:cs="Lohit Devanagari"/>
                <w:color w:val="auto"/>
                <w:kern w:val="0"/>
                <w:sz w:val="24"/>
                <w:szCs w:val="24"/>
                <w:shd w:fill="FFFFFF" w:val="clear"/>
                <w:lang w:val="ru-RU" w:eastAsia="zh-CN" w:bidi="ar-SA"/>
              </w:rPr>
            </w:pPr>
            <w:r>
              <w:rPr>
                <w:rFonts w:eastAsia="Droid Sans Fallback" w:cs="Lohit Devanagari"/>
                <w:color w:val="000000"/>
                <w:kern w:val="0"/>
                <w:sz w:val="24"/>
                <w:szCs w:val="24"/>
                <w:shd w:fill="FFFFFF" w:val="clear"/>
                <w:lang w:val="ru-RU" w:eastAsia="zh-CN" w:bidi="ar-SA"/>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Normal"/>
              <w:spacing w:lineRule="auto" w:line="240" w:before="0" w:after="0"/>
              <w:ind w:firstLine="311"/>
              <w:jc w:val="both"/>
              <w:rPr>
                <w:rFonts w:ascii="Times New Roman" w:hAnsi="Times New Roman"/>
                <w:sz w:val="24"/>
                <w:szCs w:val="24"/>
              </w:rPr>
            </w:pPr>
            <w:r>
              <w:rPr>
                <w:rFonts w:eastAsia="Droid Sans Fallback" w:cs="Lohit Devanagari"/>
                <w:color w:val="000000"/>
                <w:kern w:val="0"/>
                <w:sz w:val="24"/>
                <w:szCs w:val="24"/>
                <w:shd w:fill="FFFFFF" w:val="clear"/>
                <w:lang w:val="ru-RU" w:eastAsia="zh-CN" w:bidi="ar-SA"/>
              </w:rPr>
              <w:t>Согласно информации, содержащейся в градостроительном плане земельного</w:t>
            </w:r>
            <w:r>
              <w:rPr>
                <w:sz w:val="24"/>
                <w:szCs w:val="24"/>
              </w:rPr>
              <w:t xml:space="preserve"> участка от 18.07.2025 № РФ-59-2-03-0-00-2025-1695-0 (далее – ГПЗУ), предельная высота зданий, строений не более 10,5 м (документация по планировке территории, утвержденная постановлением администрации города Перми от 23.12.2015 № 1102).</w:t>
            </w:r>
          </w:p>
          <w:p>
            <w:pPr>
              <w:pStyle w:val="Normal"/>
              <w:spacing w:lineRule="auto" w:line="240" w:before="0" w:after="0"/>
              <w:ind w:firstLine="311"/>
              <w:jc w:val="both"/>
              <w:rPr>
                <w:rFonts w:ascii="Times New Roman" w:hAnsi="Times New Roman"/>
                <w:sz w:val="24"/>
                <w:szCs w:val="24"/>
              </w:rPr>
            </w:pPr>
            <w:r>
              <w:rPr>
                <w:sz w:val="24"/>
                <w:szCs w:val="24"/>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spacing w:lineRule="auto" w:line="240" w:before="0" w:after="0"/>
              <w:ind w:firstLine="311"/>
              <w:jc w:val="both"/>
              <w:rPr>
                <w:rFonts w:ascii="Times New Roman" w:hAnsi="Times New Roman"/>
                <w:sz w:val="24"/>
                <w:szCs w:val="24"/>
              </w:rPr>
            </w:pPr>
            <w:r>
              <w:rPr>
                <w:sz w:val="24"/>
                <w:szCs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11"/>
              <w:jc w:val="both"/>
              <w:rPr>
                <w:rFonts w:ascii="Times New Roman" w:hAnsi="Times New Roman"/>
                <w:sz w:val="24"/>
                <w:szCs w:val="24"/>
              </w:rPr>
            </w:pPr>
            <w:r>
              <w:rPr>
                <w:sz w:val="24"/>
                <w:szCs w:val="24"/>
              </w:rPr>
              <w:t>Максимальный процент застройки в границах Участка – 30%.</w:t>
            </w:r>
          </w:p>
          <w:p>
            <w:pPr>
              <w:pStyle w:val="Normal"/>
              <w:spacing w:lineRule="auto" w:line="240" w:before="0" w:after="0"/>
              <w:ind w:firstLine="311"/>
              <w:jc w:val="both"/>
              <w:rPr>
                <w:rFonts w:ascii="Times New Roman" w:hAnsi="Times New Roman"/>
                <w:sz w:val="24"/>
              </w:rPr>
            </w:pPr>
            <w:r>
              <w:rPr/>
              <w:t>С уведомлением о планируемом строительстве жилого дома рекомендуется обратиться в уполномоченный орган администрации города Перми.</w:t>
            </w:r>
          </w:p>
          <w:p>
            <w:pPr>
              <w:pStyle w:val="Normal"/>
              <w:spacing w:lineRule="auto" w:line="235" w:before="0" w:afterAutospacing="0" w:after="0"/>
              <w:ind w:firstLine="311"/>
              <w:jc w:val="both"/>
              <w:rPr>
                <w:rFonts w:ascii="Times New Roman" w:hAnsi="Times New Roman"/>
                <w:color w:themeColor="text1" w:val="000000"/>
                <w:sz w:val="24"/>
                <w:szCs w:val="24"/>
              </w:rPr>
            </w:pPr>
            <w:r>
              <w:rPr>
                <w:color w:themeColor="text1" w:val="000000"/>
                <w:sz w:val="24"/>
                <w:szCs w:val="24"/>
              </w:rPr>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1"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szCs w:val="20"/>
              </w:rPr>
            </w:pPr>
            <w:r>
              <w:rPr>
                <w:sz w:val="24"/>
                <w:szCs w:val="20"/>
              </w:rPr>
              <w:t xml:space="preserve">О наличии технической возможности технологического присоединения энергопринимающего устройства объекта с предполагаемым электоропотреблением </w:t>
              <w:br/>
              <w:t>15 кВт, сообщается следующее.</w:t>
            </w:r>
          </w:p>
          <w:p>
            <w:pPr>
              <w:pStyle w:val="Normal"/>
              <w:spacing w:lineRule="auto" w:line="240" w:before="0" w:after="0"/>
              <w:ind w:firstLine="340"/>
              <w:jc w:val="both"/>
              <w:rPr>
                <w:rFonts w:ascii="Times New Roman" w:hAnsi="Times New Roman"/>
                <w:sz w:val="24"/>
                <w:szCs w:val="24"/>
                <w:highlight w:val="white"/>
              </w:rPr>
            </w:pPr>
            <w:r>
              <w:rPr>
                <w:sz w:val="24"/>
                <w:highlight w:val="white"/>
              </w:rPr>
              <w:t xml:space="preserve">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w:t>
              <w:br/>
              <w:t>№ 861 (далее – Правила ТП).</w:t>
            </w:r>
          </w:p>
          <w:p>
            <w:pPr>
              <w:pStyle w:val="Normal"/>
              <w:spacing w:lineRule="auto" w:line="240" w:before="0" w:after="0"/>
              <w:ind w:firstLine="340"/>
              <w:jc w:val="both"/>
              <w:rPr>
                <w:rFonts w:ascii="Times New Roman" w:hAnsi="Times New Roman"/>
                <w:sz w:val="24"/>
                <w:szCs w:val="24"/>
                <w:highlight w:val="white"/>
                <w14:ligatures w14:val="none"/>
              </w:rPr>
            </w:pPr>
            <w:r>
              <w:rPr>
                <w:sz w:val="24"/>
                <w:szCs w:val="24"/>
              </w:rPr>
              <w:t>Для</w:t>
            </w:r>
            <w:r>
              <w:rPr>
                <w:spacing w:val="-7"/>
                <w:sz w:val="24"/>
                <w:szCs w:val="24"/>
              </w:rPr>
              <w:t xml:space="preserve"> </w:t>
            </w:r>
            <w:r>
              <w:rPr>
                <w:sz w:val="24"/>
                <w:szCs w:val="24"/>
              </w:rPr>
              <w:t xml:space="preserve">получения технических условий и заключения договора на технологическое присоединение необходимо направить в адрес филиала </w:t>
            </w:r>
            <w:r>
              <w:rPr>
                <w:color w:val="131313"/>
                <w:sz w:val="24"/>
                <w:szCs w:val="24"/>
              </w:rPr>
              <w:t xml:space="preserve">ПAO </w:t>
            </w:r>
            <w:r>
              <w:rPr>
                <w:color w:val="1A1A1A"/>
                <w:sz w:val="24"/>
                <w:szCs w:val="24"/>
              </w:rPr>
              <w:t xml:space="preserve">«Россети </w:t>
            </w:r>
            <w:r>
              <w:rPr>
                <w:sz w:val="24"/>
                <w:szCs w:val="24"/>
              </w:rPr>
              <w:t xml:space="preserve">Урал» - «Пермэнерго» соответствующую заявку на технологическое присоединение с указанием сведений и приложением необходимых документов </w:t>
              <w:br/>
            </w:r>
            <w:r>
              <w:rPr>
                <w:color w:val="0F0F0F"/>
                <w:sz w:val="24"/>
                <w:szCs w:val="24"/>
              </w:rPr>
              <w:t xml:space="preserve">в </w:t>
            </w:r>
            <w:r>
              <w:rPr>
                <w:sz w:val="24"/>
                <w:szCs w:val="24"/>
              </w:rPr>
              <w:t xml:space="preserve">соответствии с </w:t>
            </w:r>
            <w:r>
              <w:rPr>
                <w:sz w:val="24"/>
                <w:szCs w:val="24"/>
                <w:highlight w:val="white"/>
              </w:rPr>
              <w:t>Правилами TП.</w:t>
            </w:r>
          </w:p>
          <w:p>
            <w:pPr>
              <w:pStyle w:val="Normal"/>
              <w:spacing w:lineRule="auto" w:line="240" w:before="0" w:after="0"/>
              <w:ind w:firstLine="340"/>
              <w:jc w:val="both"/>
              <w:rPr>
                <w:rFonts w:ascii="Times New Roman" w:hAnsi="Times New Roman"/>
                <w:sz w:val="24"/>
                <w:szCs w:val="24"/>
                <w:highlight w:val="white"/>
                <w14:ligatures w14:val="none"/>
              </w:rPr>
            </w:pPr>
            <w:r>
              <w:rPr>
                <w:sz w:val="24"/>
                <w:szCs w:val="24"/>
                <w:highlight w:val="white"/>
              </w:rPr>
              <w:t>Заявку на технологическое присоединение можно подать через единый портал электросетевых услуг группы компаний «Россети» на сайте: httрs://портал-тп.рф, через Мобильное приложение ПAO «Россети» или при очном приеме в Центре обслуживания клиентов филиала «Россети Урал»-«Пермэнерго» по адресу: г. Пермь, ул. Камчатовская, д. 26, а тaкжe почтовым отправлением по адресу: 614016, г. Пермь, ул. Камчатовская, 26.</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0"/>
                <w:highlight w:val="white"/>
              </w:rPr>
              <w:t xml:space="preserve">Филиала ПАО «Россети Урал» - «Пермэнерго» </w:t>
            </w:r>
            <w:r>
              <w:rPr>
                <w:spacing w:val="0"/>
                <w:sz w:val="24"/>
                <w:szCs w:val="20"/>
                <w:highlight w:val="white"/>
              </w:rPr>
              <w:t>от 18.07.2025 № ПЭ/ПГЭС/01/22/8749</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z w:val="24"/>
                <w:szCs w:val="24"/>
                <w:highlight w:val="none"/>
              </w:rPr>
            </w:pPr>
            <w:r>
              <w:rPr>
                <w:sz w:val="24"/>
              </w:rPr>
              <w:t>Техническая возможность подключения объекта капитального строительства с предполагаемой максимальной нагрузкой (часовым расходом газа) 8м</w:t>
            </w:r>
            <w:r>
              <w:rPr>
                <w:sz w:val="24"/>
                <w:vertAlign w:val="superscript"/>
              </w:rPr>
              <w:t>3</w:t>
            </w:r>
            <w:r>
              <w:rPr>
                <w:sz w:val="24"/>
              </w:rPr>
              <w:t>/час к существующим сетям газораспределения имеется.</w:t>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Для рассмотрения вопроса о предоставлении технических условий на подключение (технологическое присоединение) необходимо направить заявку с приложением необходимых документов в соответствии с постановлением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АО «Газпром газораспределение Пермь»</w:t>
            </w:r>
            <w:r>
              <w:rPr>
                <w:spacing w:val="0"/>
                <w:sz w:val="24"/>
                <w:szCs w:val="24"/>
                <w:highlight w:val="white"/>
              </w:rPr>
              <w:t xml:space="preserve"> от 15.07.2025 № ПФ-4949).</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z w:val="24"/>
                <w:szCs w:val="24"/>
                <w:highlight w:val="none"/>
              </w:rPr>
            </w:pPr>
            <w:r>
              <w:rPr>
                <w:sz w:val="24"/>
              </w:rPr>
              <w:t>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 1,0 м</w:t>
            </w:r>
            <w:r>
              <w:rPr>
                <w:sz w:val="24"/>
                <w:vertAlign w:val="superscript"/>
              </w:rPr>
              <w:t>3</w:t>
            </w:r>
            <w:r>
              <w:rPr>
                <w:sz w:val="24"/>
              </w:rPr>
              <w:t>/сут. к централизованным системам водоснабжения и водоотведения сообщается следующее.</w:t>
            </w:r>
          </w:p>
          <w:p>
            <w:pPr>
              <w:pStyle w:val="Normal"/>
              <w:spacing w:lineRule="auto" w:line="240" w:before="0" w:after="0"/>
              <w:ind w:firstLine="340"/>
              <w:jc w:val="both"/>
              <w:rPr>
                <w:rFonts w:ascii="Times New Roman" w:hAnsi="Times New Roman"/>
                <w:sz w:val="24"/>
                <w:szCs w:val="24"/>
              </w:rPr>
            </w:pPr>
            <w:r>
              <w:rPr>
                <w:sz w:val="24"/>
                <w:szCs w:val="24"/>
              </w:rPr>
              <w:t>Ближайшей точкой подключения к сетям водоснабжения, эксплуатируемой ООО «НОВОГОР-Прикамье», является водопровод Д-225 мм по ул. Александра Щербакова.</w:t>
            </w:r>
          </w:p>
          <w:p>
            <w:pPr>
              <w:pStyle w:val="Normal"/>
              <w:spacing w:lineRule="auto" w:line="240" w:before="0" w:after="0"/>
              <w:ind w:firstLine="340"/>
              <w:jc w:val="both"/>
              <w:rPr>
                <w:rFonts w:ascii="Times New Roman" w:hAnsi="Times New Roman"/>
                <w:sz w:val="24"/>
                <w:szCs w:val="24"/>
              </w:rPr>
            </w:pPr>
            <w:r>
              <w:rPr>
                <w:sz w:val="24"/>
                <w:szCs w:val="24"/>
              </w:rPr>
              <w:t>Ближайшими точками подключения к сетям водоотведения, эксплуатируемыми ООО «НОВОГОР-Прикамье», являются сети канализации Д-160 мм и Д-250 мм по ул. Александра Щербакова.</w:t>
            </w:r>
          </w:p>
          <w:p>
            <w:pPr>
              <w:pStyle w:val="Normal"/>
              <w:spacing w:lineRule="auto" w:line="240" w:before="0" w:after="0"/>
              <w:ind w:firstLine="311"/>
              <w:jc w:val="both"/>
              <w:rPr>
                <w:rFonts w:ascii="Times New Roman" w:hAnsi="Times New Roman"/>
                <w:sz w:val="24"/>
                <w:szCs w:val="24"/>
              </w:rPr>
            </w:pPr>
            <w:r>
              <w:rPr>
                <w:sz w:val="24"/>
                <w:szCs w:val="24"/>
              </w:rPr>
              <w:t xml:space="preserve">В границах Участка отсутствуют сети водопровода </w:t>
              <w:br/>
              <w:t>и канализации, эксплуатируемые ООО «НОВОГОР- Прикамье».</w:t>
            </w:r>
          </w:p>
          <w:p>
            <w:pPr>
              <w:pStyle w:val="Normal"/>
              <w:spacing w:lineRule="auto" w:line="240" w:before="0" w:after="0"/>
              <w:ind w:firstLine="340"/>
              <w:jc w:val="both"/>
              <w:rPr>
                <w:rFonts w:ascii="Times New Roman" w:hAnsi="Times New Roman"/>
                <w:spacing w:val="-6"/>
                <w:sz w:val="24"/>
                <w:szCs w:val="24"/>
              </w:rPr>
            </w:pPr>
            <w:r>
              <w:rPr>
                <w:spacing w:val="-6"/>
                <w:sz w:val="24"/>
                <w:szCs w:val="24"/>
              </w:rPr>
              <w:t xml:space="preserve">Размещение объекта необходимо предусматривать строго за пределами охранных зон сетей водопровода </w:t>
              <w:br/>
              <w:t xml:space="preserve">и канализации в соответствии с нормами СП, в том числе </w:t>
              <w:br/>
              <w:t xml:space="preserve">в соответствии с таблицей 12.5 СП 42.13330.2016 «Градостроительство. Планировка и застройка городских </w:t>
              <w:br/>
              <w:t>и сельских поселений».</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 xml:space="preserve">ООО «НОВОГОР-Прикамье» </w:t>
            </w:r>
            <w:r>
              <w:rPr>
                <w:spacing w:val="0"/>
                <w:sz w:val="24"/>
                <w:szCs w:val="24"/>
                <w:highlight w:val="white"/>
              </w:rPr>
              <w:t>от 14.07.2025 № 110-10307).</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1"/>
              <w:jc w:val="both"/>
              <w:rPr>
                <w:rFonts w:ascii="Times New Roman" w:hAnsi="Times New Roman"/>
                <w:sz w:val="24"/>
              </w:rPr>
            </w:pPr>
            <w:r>
              <w:rPr>
                <w:sz w:val="24"/>
              </w:rPr>
              <w:t>О возможности технологического присоединения к системе теплоснабжения объекта сообщается, что Участок находится вне зоны теплоснабжения ПАО «Т плюс».</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Филиала «Пермский ПАО «Т Плюс»</w:t>
            </w:r>
            <w:r>
              <w:rPr>
                <w:spacing w:val="0"/>
                <w:sz w:val="24"/>
                <w:szCs w:val="24"/>
                <w:highlight w:val="white"/>
              </w:rPr>
              <w:t xml:space="preserve"> от 09.07.2025 № 51000-32-02491).</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40"/>
              <w:jc w:val="both"/>
              <w:rPr>
                <w:rFonts w:ascii="Times New Roman" w:hAnsi="Times New Roman"/>
                <w:sz w:val="24"/>
                <w:szCs w:val="24"/>
                <w:highlight w:val="white"/>
              </w:rPr>
            </w:pPr>
            <w:r>
              <w:rPr>
                <w:sz w:val="24"/>
                <w:highlight w:val="white"/>
              </w:rPr>
              <w:t>Техническая возможность подключения к сетям теплоснабжения отсутствует.</w:t>
            </w:r>
          </w:p>
          <w:p>
            <w:pPr>
              <w:pStyle w:val="Normal"/>
              <w:spacing w:lineRule="auto" w:line="240" w:before="0" w:after="0"/>
              <w:ind w:firstLine="340"/>
              <w:jc w:val="both"/>
              <w:rPr>
                <w:rFonts w:ascii="Times New Roman" w:hAnsi="Times New Roman"/>
                <w:sz w:val="24"/>
                <w:szCs w:val="24"/>
                <w:highlight w:val="white"/>
              </w:rPr>
            </w:pPr>
            <w:r>
              <w:rPr>
                <w:sz w:val="24"/>
                <w:szCs w:val="24"/>
                <w:highlight w:val="white"/>
              </w:rPr>
              <w:t>В качестве альтернативного энергоресурса рекомендовано рассмотреть газ и обратиться в Пермский филиал АО «Газпром газораспределение Пермь», либо рассмотреть иные альтернативные энергоресурсы (электричество, дрова, пеллеты).</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 xml:space="preserve">департамента жилищно-коммунального хозяйства администрации города Перми </w:t>
            </w:r>
            <w:r>
              <w:rPr>
                <w:spacing w:val="0"/>
                <w:sz w:val="24"/>
                <w:szCs w:val="24"/>
                <w:highlight w:val="white"/>
              </w:rPr>
              <w:t xml:space="preserve"> от 11.07.2025 № 059-04-25/3-125-ри и в письме </w:t>
            </w:r>
            <w:r>
              <w:rPr>
                <w:b/>
                <w:bCs/>
                <w:spacing w:val="0"/>
                <w:sz w:val="24"/>
                <w:szCs w:val="24"/>
                <w:highlight w:val="white"/>
              </w:rPr>
              <w:t>администрация Орджоникидзевского района письмом</w:t>
            </w:r>
            <w:r>
              <w:rPr>
                <w:spacing w:val="0"/>
                <w:sz w:val="24"/>
                <w:szCs w:val="24"/>
                <w:highlight w:val="white"/>
              </w:rPr>
              <w:t xml:space="preserve"> от 21.07.2025 № 059-37-01-32/3-3633).</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40"/>
              <w:jc w:val="both"/>
              <w:rPr>
                <w:rFonts w:ascii="Times New Roman" w:hAnsi="Times New Roman"/>
                <w:sz w:val="24"/>
                <w:szCs w:val="24"/>
              </w:rPr>
            </w:pPr>
            <w:r>
              <w:rPr>
                <w:sz w:val="24"/>
                <w:szCs w:val="24"/>
              </w:rPr>
              <w:t>Технологическое присоединение к сетям связи ПАО «Ростелеком» планируемых к строительству объектов в границах Участка может быть произведено к узлу ВОЛС (г. Пермь, ул. Кронита, 8). Максимальную нагрузку в точке подключения (технологического присоединения) определить на стадии проектирования. В границах Участка сетей связи ПАО «Ростелеком» и их охранных зон нет.</w:t>
            </w:r>
          </w:p>
          <w:p>
            <w:pPr>
              <w:pStyle w:val="Normal"/>
              <w:spacing w:lineRule="auto" w:line="240" w:before="0" w:after="0"/>
              <w:ind w:firstLine="340"/>
              <w:jc w:val="both"/>
              <w:rPr>
                <w:rFonts w:ascii="Times New Roman" w:hAnsi="Times New Roman"/>
                <w:sz w:val="24"/>
                <w:szCs w:val="24"/>
                <w:highlight w:val="none"/>
              </w:rPr>
            </w:pPr>
            <w:r>
              <w:rPr>
                <w:sz w:val="24"/>
                <w:szCs w:val="24"/>
              </w:rPr>
              <w:t>Для подключения (технологического присоединения) вышеуказанных объектов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spacing w:val="0"/>
                <w:sz w:val="24"/>
                <w:szCs w:val="24"/>
                <w:highlight w:val="white"/>
              </w:rPr>
              <w:t>ПАО «Ростелеком»</w:t>
            </w:r>
            <w:r>
              <w:rPr>
                <w:spacing w:val="0"/>
                <w:sz w:val="24"/>
                <w:szCs w:val="24"/>
                <w:highlight w:val="white"/>
              </w:rPr>
              <w:t xml:space="preserve"> от 15.07.2025 от 01/05/103659/25).</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40"/>
              <w:jc w:val="both"/>
              <w:rPr>
                <w:rFonts w:ascii="Times New Roman" w:hAnsi="Times New Roman"/>
                <w:sz w:val="24"/>
                <w:szCs w:val="24"/>
              </w:rPr>
            </w:pPr>
            <w:r>
              <w:rPr>
                <w:color w:themeColor="text1" w:val="000000"/>
                <w:sz w:val="24"/>
                <w:szCs w:val="24"/>
              </w:rPr>
              <w:t>На территории, где расположен Участок, строительство сетей водоснабжения и водоотведения схемами водоснабжения и водоотведения города Перми, утвержденными постановлением администрации города Перми от 28.12.2018 № 1085, на период до 2028 года не предусмотрено.</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spacing w:val="0"/>
                <w:sz w:val="24"/>
                <w:szCs w:val="24"/>
                <w:highlight w:val="white"/>
              </w:rPr>
              <w:t>департамента жилищно-коммунального хозяйства администрации города Перми</w:t>
            </w:r>
            <w:r>
              <w:rPr>
                <w:spacing w:val="0"/>
                <w:sz w:val="24"/>
                <w:szCs w:val="24"/>
                <w:highlight w:val="white"/>
              </w:rPr>
              <w:t xml:space="preserve"> </w:t>
            </w:r>
            <w:r>
              <w:rPr>
                <w:color w:themeColor="text1" w:val="000000"/>
                <w:spacing w:val="0"/>
                <w:sz w:val="24"/>
                <w:szCs w:val="24"/>
                <w:highlight w:val="white"/>
              </w:rPr>
              <w:t>от 15.07.2025 № 059-04-17/3-630-ри</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rPr>
              <w:t xml:space="preserve">По условиям пункта 4.3 проекта договора аренды земельного участка, приобретаемого на торгах в форме аукциона, для строительства (Приложение 2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(далее – ЗК РФ), обязан до подписания договора уплатить ежегодный размер арендной платы, указанный в п. 4.2 договора </w:t>
              <w:br/>
              <w:t xml:space="preserve">(за вычетом задатка, внесенного для участия </w:t>
              <w:br/>
              <w:t xml:space="preserve">в аукционе) </w:t>
            </w:r>
            <w:r>
              <w:rPr>
                <w:b/>
                <w:bCs/>
                <w:sz w:val="24"/>
                <w:szCs w:val="24"/>
              </w:rPr>
              <w:t xml:space="preserve">за 1 год </w:t>
            </w:r>
            <w:r>
              <w:rPr>
                <w:b w:val="false"/>
                <w:bCs w:val="false"/>
                <w:sz w:val="24"/>
                <w:szCs w:val="24"/>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w:t>
            </w:r>
            <w:r>
              <w:rPr>
                <w:b w:val="false"/>
                <w:bCs w:val="false"/>
                <w:sz w:val="24"/>
                <w:szCs w:val="24"/>
                <w:shd w:fill="auto" w:val="clear"/>
              </w:rPr>
              <w:t>реквизиты которого указаны в проекте договора аренды земельного участка (Приложение 2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541 600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27 080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b/>
                <w:bCs/>
                <w:color w:val="000000"/>
                <w:sz w:val="24"/>
                <w:szCs w:val="24"/>
                <w:shd w:fill="auto" w:val="clear"/>
                <w14:ligatures w14:val="none"/>
              </w:rPr>
            </w:pPr>
            <w:r>
              <w:rPr>
                <w:b/>
                <w:bCs/>
                <w:color w:val="000000"/>
                <w:sz w:val="24"/>
                <w:szCs w:val="24"/>
                <w:shd w:fill="auto" w:val="clear"/>
              </w:rPr>
              <w:t>Решение о проведении аукциона принято в соответствии со статьей 39.11 Земельного кодекса Российской Федерации, аукцион является открытым по составу участников.</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270 800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2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rFonts w:eastAsia="Courier New"/>
          <w:b/>
          <w:bCs/>
          <w:highlight w:val="none"/>
          <w:lang w:bidi="ru-RU"/>
        </w:rPr>
      </w:pPr>
      <w:r>
        <w:rPr>
          <w:rFonts w:eastAsia="Courier New"/>
          <w:b/>
          <w:bCs/>
          <w:lang w:bidi="ru-RU"/>
        </w:rPr>
      </w:r>
    </w:p>
    <w:p>
      <w:pPr>
        <w:pStyle w:val="Normal"/>
        <w:tabs>
          <w:tab w:val="clear" w:pos="708"/>
          <w:tab w:val="left" w:pos="5103" w:leader="none"/>
        </w:tabs>
        <w:ind w:right="-263"/>
        <w:rPr>
          <w:rFonts w:eastAsia="Courier New"/>
          <w:b/>
          <w:bCs/>
          <w:highlight w:val="none"/>
          <w:lang w:bidi="ru-RU"/>
        </w:rPr>
      </w:pPr>
      <w:r>
        <w:rPr>
          <w:rFonts w:eastAsia="Courier New"/>
          <w:b/>
          <w:bCs/>
          <w:lang w:bidi="ru-RU"/>
        </w:rPr>
        <w:t>Лот № 3</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Droid Sans Fallback" w:cs="Lohit Devanagari"/>
                <w:color w:val="auto"/>
                <w:sz w:val="20"/>
                <w:szCs w:val="24"/>
                <w:lang w:val="ru-RU" w:eastAsia="zh-CN" w:bidi="ar-SA"/>
              </w:rPr>
              <w:t xml:space="preserve"> </w:t>
            </w:r>
            <w:r>
              <w:rPr>
                <w:rFonts w:eastAsia="Droid Sans Fallback" w:cs="Lohit Devanagari"/>
                <w:color w:val="auto"/>
                <w:sz w:val="24"/>
                <w:szCs w:val="28"/>
                <w:lang w:val="ru-RU" w:eastAsia="zh-CN" w:bidi="ar-SA"/>
              </w:rPr>
              <w:t>от 15 августа 2025 г. № 21-01-03-6615 «О проведении аукциона на право заключения договора аренды земельного участка в Свердловском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жилой район Ново-Бродовский, улица Малиновая, з/у 33</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1000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59:01:5010065:142</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 xml:space="preserve">в выписке из Единого государственного реестра недвижимости об объекте недвижимости </w:t>
            </w:r>
            <w:r>
              <w:rPr>
                <w:sz w:val="24"/>
                <w:szCs w:val="24"/>
                <w:highlight w:val="white"/>
              </w:rPr>
              <w:t>13.10.2025г. No КУВИ-001/2025-190088256</w:t>
            </w:r>
            <w:r>
              <w:rPr>
                <w:sz w:val="24"/>
                <w:szCs w:val="24"/>
              </w:rPr>
              <w:t xml:space="preserve"> (далее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15.07.2025 № РФ-59-2-03-0-00-2025-1625-0 (далее – ГПЗУ).</w:t>
            </w:r>
          </w:p>
          <w:p>
            <w:pPr>
              <w:pStyle w:val="Normal"/>
              <w:jc w:val="both"/>
              <w:rPr>
                <w:sz w:val="24"/>
                <w:szCs w:val="24"/>
              </w:rPr>
            </w:pPr>
            <w:r>
              <w:rPr>
                <w:sz w:val="24"/>
                <w:szCs w:val="24"/>
              </w:rPr>
            </w:r>
          </w:p>
          <w:p>
            <w:pPr>
              <w:pStyle w:val="Normal"/>
              <w:spacing w:lineRule="auto" w:line="240" w:before="0" w:after="0"/>
              <w:ind w:firstLine="425" w:left="0" w:right="0"/>
              <w:jc w:val="both"/>
              <w:rPr>
                <w:rFonts w:ascii="Times New Roman" w:hAnsi="Times New Roman"/>
                <w:color w:themeColor="text1" w:val="000000"/>
                <w:sz w:val="24"/>
                <w:szCs w:val="24"/>
                <w:highlight w:val="white"/>
              </w:rPr>
            </w:pPr>
            <w:r>
              <w:rPr>
                <w:color w:themeColor="text1" w:val="000000"/>
                <w:sz w:val="24"/>
                <w:szCs w:val="24"/>
              </w:rPr>
              <w:t xml:space="preserve">Земельный участок </w:t>
            </w:r>
            <w:r>
              <w:rPr>
                <w:color w:themeColor="text1" w:val="000000"/>
                <w:sz w:val="24"/>
                <w:szCs w:val="24"/>
                <w:highlight w:val="white"/>
              </w:rPr>
              <w:t>ограждений не имеет. На территории участка расположена дикорастущая травянистая и древесно-кустарниковая растительность, лесной массив, имеются признаки зарастания более 50% площади земельного участка дикорастущими деревьями.</w:t>
            </w:r>
          </w:p>
          <w:p>
            <w:pPr>
              <w:pStyle w:val="Normal"/>
              <w:spacing w:lineRule="auto" w:line="240" w:before="0" w:after="0"/>
              <w:ind w:firstLine="425" w:left="0" w:right="0"/>
              <w:jc w:val="both"/>
              <w:rPr>
                <w:color w:themeColor="text1" w:val="000000"/>
                <w:highlight w:val="white"/>
              </w:rPr>
            </w:pPr>
            <w:r>
              <w:rPr>
                <w:color w:themeColor="text1" w:val="000000"/>
                <w:sz w:val="24"/>
                <w:szCs w:val="24"/>
                <w:highlight w:val="white"/>
              </w:rPr>
              <w:t xml:space="preserve">На земельном участке объекты движимого и (или) недвижимого имущества, самовольно установленные </w:t>
              <w:br/>
              <w:t>и незаконно размещенные движимые объекты, самовольные постройки отсутствуют.</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rPr>
              <w:t xml:space="preserve">Близлежащие источники противопожарного водоснабжения относительно Участка расположены </w:t>
              <w:br/>
              <w:t>ул. Виноградная, 22 емкость 100 куб.м, собственник (гарантирующая организация) ЖК «Янтарный»; по ул. Ореховая, 102, емкость 100 куб.м, муниципальная собственность.</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администрации Свердловского района города Перми</w:t>
            </w:r>
            <w:r>
              <w:rPr>
                <w:color w:themeColor="text1" w:val="000000"/>
                <w:spacing w:val="0"/>
                <w:sz w:val="24"/>
                <w:szCs w:val="24"/>
                <w:highlight w:val="white"/>
              </w:rPr>
              <w:t xml:space="preserve"> от 14.07.2025 № 059-39-01-30/3-367 и в акте обследования от 10.07.2025</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25" w:left="0" w:right="0"/>
              <w:jc w:val="both"/>
              <w:rPr>
                <w:rFonts w:ascii="Times New Roman" w:hAnsi="Times New Roman"/>
                <w:color w:val="FF0000"/>
                <w:sz w:val="24"/>
                <w:szCs w:val="24"/>
                <w:highlight w:val="yellow"/>
              </w:rPr>
            </w:pPr>
            <w:r>
              <w:rPr>
                <w:sz w:val="24"/>
                <w:szCs w:val="24"/>
                <w:highlight w:val="white"/>
              </w:rPr>
              <w:t xml:space="preserve">В соответствии со сведениями ЕГРН, копией планшета М 1:1000 (требуется корректура), </w:t>
            </w:r>
            <w:r>
              <w:rPr>
                <w:color w:val="auto"/>
                <w:sz w:val="24"/>
                <w:szCs w:val="24"/>
                <w:highlight w:val="white"/>
              </w:rPr>
              <w:t xml:space="preserve">геодезической съемкой, </w:t>
            </w:r>
            <w:r>
              <w:rPr>
                <w:sz w:val="24"/>
                <w:szCs w:val="24"/>
                <w:highlight w:val="white"/>
              </w:rPr>
              <w:t>выполненной в 2024 году, объекты капитального/некапитального строительства в границах Участка отсутствуют.</w:t>
            </w:r>
          </w:p>
          <w:p>
            <w:pPr>
              <w:pStyle w:val="Normal"/>
              <w:spacing w:lineRule="auto" w:line="240" w:before="0" w:afterAutospacing="0" w:after="0"/>
              <w:ind w:firstLine="425" w:left="0" w:right="0"/>
              <w:jc w:val="both"/>
              <w:rPr>
                <w:rFonts w:ascii="Times New Roman" w:hAnsi="Times New Roman" w:eastAsia="Times New Roman" w:cs="Times New Roman"/>
                <w:color w:themeColor="text1" w:val="000000"/>
                <w:sz w:val="24"/>
                <w:szCs w:val="24"/>
              </w:rPr>
            </w:pPr>
            <w:r>
              <w:rPr>
                <w:rFonts w:eastAsia="Times New Roman" w:cs="Times New Roman"/>
                <w:color w:themeColor="text1" w:val="000000"/>
                <w:sz w:val="24"/>
                <w:szCs w:val="24"/>
              </w:rPr>
            </w:r>
          </w:p>
          <w:p>
            <w:pPr>
              <w:pStyle w:val="Normal"/>
              <w:spacing w:lineRule="auto" w:line="240" w:before="0" w:afterAutospacing="0" w:after="0"/>
              <w:ind w:firstLine="311"/>
              <w:jc w:val="both"/>
              <w:rPr>
                <w:rFonts w:ascii="Times New Roman" w:hAnsi="Times New Roman"/>
                <w:color w:themeColor="text1" w:val="000000"/>
                <w:sz w:val="24"/>
                <w:szCs w:val="24"/>
                <w:highlight w:val="none"/>
              </w:rPr>
            </w:pPr>
            <w:r>
              <w:rPr>
                <w:color w:themeColor="text1" w:val="000000"/>
                <w:sz w:val="24"/>
                <w:szCs w:val="24"/>
              </w:rPr>
              <w:t xml:space="preserve">Согласно сведениям, содержащимся в ЕГРН, ГПЗУ </w:t>
              <w:br/>
              <w:t xml:space="preserve">и справке по градостроительным условиям участка </w:t>
              <w:br/>
              <w:t>от 13.10.2025 № 649999 Участок расположен в границах зоны с особыми условиями использования территории: приаэродромная территория аэродрома аэропорта Большое Савино, реестровый номер 59:32-6.553.</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t>Проектирование и строительство вести в соответствии:</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t>с постановлением Правительства Российской Федерации от 11.03.2010 № 138 «Об утверждении</w:t>
            </w:r>
            <w:r>
              <w:rPr>
                <w:color w:themeColor="text1" w:val="000000"/>
                <w:sz w:val="24"/>
                <w:szCs w:val="24"/>
              </w:rPr>
              <w:t xml:space="preserve">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452"/>
              <w:jc w:val="both"/>
              <w:rPr/>
            </w:pPr>
            <w:r>
              <w:rPr>
                <w:color w:themeColor="text1" w:val="000000"/>
                <w:sz w:val="24"/>
                <w:szCs w:val="24"/>
              </w:rPr>
              <w:t>На Участке произрастает 72 дерева: ель 47 шт., рябина 6 шт., береза 19 шт.</w:t>
            </w:r>
          </w:p>
          <w:p>
            <w:pPr>
              <w:pStyle w:val="Normal"/>
              <w:spacing w:lineRule="auto" w:line="240" w:before="0" w:after="0"/>
              <w:ind w:firstLine="311"/>
              <w:jc w:val="both"/>
              <w:rPr>
                <w:rFonts w:ascii="Times New Roman" w:hAnsi="Times New Roman"/>
                <w:color w:themeColor="text1" w:val="000000"/>
                <w:sz w:val="24"/>
                <w:szCs w:val="24"/>
                <w:highlight w:val="none"/>
              </w:rPr>
            </w:pPr>
            <w:r>
              <w:rPr>
                <w:color w:themeColor="text1" w:val="000000"/>
                <w:sz w:val="24"/>
                <w:szCs w:val="24"/>
                <w:highlight w:val="white"/>
              </w:rPr>
              <w:t>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rFonts w:ascii="Times New Roman" w:hAnsi="Times New Roman" w:eastAsia="Times New Roman" w:cs="Times New Roman"/>
                <w:color w:themeColor="text1" w:val="000000"/>
                <w:spacing w:val="0"/>
                <w14:ligatures w14:val="none"/>
              </w:rPr>
            </w:pPr>
            <w:r>
              <w:rPr>
                <w:rFonts w:eastAsia="Times New Roman" w:cs="Times New Roman"/>
                <w:color w:themeColor="text1" w:val="000000"/>
                <w:spacing w:val="0"/>
                <w:sz w:val="24"/>
              </w:rPr>
              <w:t xml:space="preserve">Победителю аукциона необходимо соблюдать условия строительства, перечисленные в </w:t>
            </w:r>
            <w:r>
              <w:rPr>
                <w:rFonts w:eastAsia="Times New Roman" w:cs="Times New Roman"/>
                <w:color w:themeColor="text1" w:val="000000"/>
                <w:spacing w:val="0"/>
                <w:sz w:val="24"/>
                <w:szCs w:val="24"/>
              </w:rPr>
              <w:t>перечне мероприятий по охране окружающей среды от 10.07.2025 № 193 (прилагается).</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color w:themeColor="text1" w:val="000000"/>
                <w:spacing w:val="0"/>
                <w:sz w:val="24"/>
                <w:szCs w:val="24"/>
                <w:highlight w:val="white"/>
              </w:rPr>
              <w:t>у</w:t>
            </w:r>
            <w:r>
              <w:rPr>
                <w:b/>
                <w:color w:themeColor="text1" w:val="000000"/>
                <w:spacing w:val="0"/>
                <w:sz w:val="24"/>
                <w:szCs w:val="24"/>
                <w:highlight w:val="white"/>
              </w:rPr>
              <w:t>правления по экологии и природопользованию администрации города Перми</w:t>
            </w:r>
            <w:r>
              <w:rPr>
                <w:color w:themeColor="text1" w:val="000000"/>
                <w:spacing w:val="0"/>
                <w:sz w:val="24"/>
                <w:szCs w:val="24"/>
                <w:highlight w:val="white"/>
              </w:rPr>
              <w:t xml:space="preserve"> от 11.07.2025 № 059-33-01-10/3-445</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52"/>
              <w:jc w:val="both"/>
              <w:rPr/>
            </w:pPr>
            <w:r>
              <w:rPr>
                <w:color w:themeColor="text1" w:val="000000"/>
                <w:sz w:val="24"/>
                <w:szCs w:val="24"/>
              </w:rPr>
              <w:t>Бюджетом города Перми на период 2025-2029 годы мероприятия по строительству, реконструкции, капитальному ремонту улично-дорожной сети на рассматриваемых территориях не предусмотрены.</w:t>
            </w:r>
          </w:p>
          <w:p>
            <w:pPr>
              <w:pStyle w:val="Normal"/>
              <w:spacing w:lineRule="auto" w:line="240" w:before="0" w:after="0"/>
              <w:ind w:firstLine="452"/>
              <w:jc w:val="both"/>
              <w:rPr/>
            </w:pPr>
            <w:r>
              <w:rPr>
                <w:color w:themeColor="text1" w:val="000000"/>
                <w:sz w:val="24"/>
                <w:szCs w:val="24"/>
              </w:rPr>
              <w:t>Дополнительно сообщаем, постановлением администрации города Перми от 22.12.2017 № 1178 в отношении территории, в границах которой расположены Земельные участки, утверждены проект планировки территории и проект межевания территории.</w:t>
            </w:r>
          </w:p>
          <w:p>
            <w:pPr>
              <w:pStyle w:val="Normal"/>
              <w:spacing w:lineRule="auto" w:line="240" w:before="0" w:after="0"/>
              <w:ind w:firstLine="452"/>
              <w:jc w:val="both"/>
              <w:rPr/>
            </w:pPr>
            <w:r>
              <w:rPr>
                <w:color w:themeColor="text1" w:val="000000"/>
                <w:sz w:val="24"/>
                <w:szCs w:val="24"/>
              </w:rPr>
              <w:t xml:space="preserve">Проектом планировки территории </w:t>
              <w:br/>
              <w:t>не предусмотрено установление красных линий, обозначающих территории общего пользования (улицы, проезды), для обеспечения доступа к Земельным участкам.</w:t>
            </w:r>
          </w:p>
          <w:p>
            <w:pPr>
              <w:pStyle w:val="Normal"/>
              <w:spacing w:lineRule="auto" w:line="240" w:before="0" w:after="0"/>
              <w:ind w:firstLine="452"/>
              <w:jc w:val="both"/>
              <w:rPr>
                <w:b/>
                <w:bCs/>
              </w:rPr>
            </w:pPr>
            <w:r>
              <w:rPr>
                <w:b/>
                <w:bCs/>
                <w:color w:themeColor="text1" w:val="000000"/>
                <w:sz w:val="24"/>
                <w:szCs w:val="24"/>
              </w:rPr>
              <w:t>По информации, имеющейся в департаменте дорог и благоустройства администрации города Перми, в настоящее время условия примыкания Земельных участков к улично-дорожной сети города Перми отсутствуют.</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департамента дорог и благоустройства администрации города Перми</w:t>
            </w:r>
            <w:r>
              <w:rPr>
                <w:color w:themeColor="text1" w:val="000000"/>
                <w:spacing w:val="0"/>
                <w:sz w:val="24"/>
                <w:szCs w:val="24"/>
                <w:highlight w:val="white"/>
              </w:rPr>
              <w:t xml:space="preserve"> от 03.07.2025 № 059-24-01-36/3-2325</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59"/>
              <w:jc w:val="both"/>
              <w:rPr>
                <w:rFonts w:ascii="Times New Roman" w:hAnsi="Times New Roman"/>
                <w:color w:themeColor="text1" w:val="000000"/>
                <w:sz w:val="24"/>
                <w:szCs w:val="24"/>
                <w:highlight w:val="none"/>
              </w:rPr>
            </w:pPr>
            <w:r>
              <w:rPr>
                <w:color w:themeColor="text1" w:val="000000"/>
                <w:sz w:val="24"/>
                <w:szCs w:val="24"/>
              </w:rPr>
              <w:t>Источники</w:t>
            </w:r>
            <w:r>
              <w:rPr>
                <w:color w:themeColor="text1" w:val="000000"/>
                <w:sz w:val="24"/>
                <w:szCs w:val="24"/>
                <w:highlight w:val="white"/>
              </w:rPr>
              <w:t xml:space="preserve"> противопожарного водоснабжения (пожарный водоем) расположен в радиусе от 550 до 800 метров по адресу: ул. Виноградная, 24-26 (далее - ИПВ)</w:t>
            </w:r>
          </w:p>
          <w:p>
            <w:pPr>
              <w:pStyle w:val="Normal"/>
              <w:spacing w:lineRule="auto" w:line="240" w:before="0" w:after="0"/>
              <w:ind w:firstLine="452"/>
              <w:jc w:val="both"/>
              <w:rPr>
                <w:rFonts w:ascii="Times New Roman" w:hAnsi="Times New Roman"/>
                <w:color w:themeColor="text1" w:val="000000"/>
                <w:sz w:val="24"/>
                <w:szCs w:val="24"/>
                <w14:ligatures w14:val="none"/>
              </w:rPr>
            </w:pPr>
            <w:r>
              <w:rPr>
                <w:color w:themeColor="text1" w:val="000000"/>
                <w:sz w:val="24"/>
                <w:szCs w:val="24"/>
              </w:rPr>
              <w:t xml:space="preserve">При планировке и размещении объектов </w:t>
              <w:br/>
              <w:t xml:space="preserve">на вышеуказанной территории необходимо соблюдать нормы и требования действующего законодательства: федеральных законов от 21 декабря 1994 г. № 69-ФЗ </w:t>
              <w:br/>
              <w:t>«О пожарной безопасности» и от 22 июля 2008 г. № 123-ФЗ «Технический регламент о требованиях пожарной безопасности»,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w:t>
            </w:r>
          </w:p>
          <w:p>
            <w:pPr>
              <w:pStyle w:val="Normal"/>
              <w:spacing w:lineRule="auto" w:line="240" w:before="0" w:after="0"/>
              <w:ind w:firstLine="452"/>
              <w:jc w:val="both"/>
              <w:rPr>
                <w:rFonts w:ascii="Times New Roman" w:hAnsi="Times New Roman"/>
                <w:color w:themeColor="text1" w:val="000000"/>
                <w:sz w:val="24"/>
                <w:szCs w:val="24"/>
                <w14:ligatures w14:val="none"/>
              </w:rPr>
            </w:pPr>
            <w:r>
              <w:rPr>
                <w:color w:themeColor="text1" w:val="000000"/>
                <w:sz w:val="24"/>
                <w:szCs w:val="24"/>
              </w:rPr>
              <w:t xml:space="preserve">Информация о подразделениях пожарной охраны </w:t>
              <w:br/>
              <w:t xml:space="preserve">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Подразделение пожарной охраны расположено по адресу: ул. Белинского, 5 </w:t>
              <w:br/>
              <w:t xml:space="preserve">(ПСЧ-5 10-ПСО) и ул. Балхашская, 135 </w:t>
              <w:br/>
              <w:t>(СПСЧ-8 10- ПСО).</w:t>
            </w:r>
          </w:p>
          <w:p>
            <w:pPr>
              <w:pStyle w:val="Normal"/>
              <w:spacing w:lineRule="auto" w:line="240" w:before="0" w:after="0"/>
              <w:ind w:firstLine="452"/>
              <w:jc w:val="both"/>
              <w:rPr>
                <w:rFonts w:ascii="Times New Roman" w:hAnsi="Times New Roman"/>
                <w:color w:themeColor="text1" w:val="000000"/>
                <w:sz w:val="24"/>
                <w:szCs w:val="24"/>
                <w14:ligatures w14:val="none"/>
              </w:rPr>
            </w:pPr>
            <w:r>
              <w:rPr>
                <w:color w:themeColor="text1" w:val="000000"/>
                <w:sz w:val="24"/>
                <w:szCs w:val="24"/>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 xml:space="preserve">Объекты общественной безопасности, отнесенные к объектам полиции (участковые пункты полиции) в данном микрорайоне (Новобродовский) отсутствуют. Ближайший участковый пункт расположен по адресу: </w:t>
              <w:br/>
              <w:t>г. Пермь, ул. Казахская д. 104 (микрорайон Южный, Свердловский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452"/>
              <w:jc w:val="both"/>
              <w:rPr/>
            </w:pPr>
            <w:r>
              <w:rPr>
                <w:color w:themeColor="text1" w:val="000000"/>
                <w:sz w:val="24"/>
                <w:szCs w:val="24"/>
              </w:rPr>
              <w:t>По информации предоставленной письмом Министерства территориальной безопасности Пермского края от 07.10.2020 № 964с, рассматриваемая территория попадает в зону возможного химического заражения в особый период. 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 утвержденные Приказом Минстроя России от 12.11.2014 № 705/пр.</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департамента общественной безопасности администрации города Перми</w:t>
            </w:r>
            <w:r>
              <w:rPr>
                <w:color w:themeColor="text1" w:val="000000"/>
                <w:spacing w:val="0"/>
                <w:sz w:val="24"/>
                <w:szCs w:val="24"/>
                <w:highlight w:val="white"/>
              </w:rPr>
              <w:t xml:space="preserve"> от 04.07.2025 № 059-10-01-27/3-1461</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52"/>
              <w:jc w:val="both"/>
              <w:rPr>
                <w:color w:themeColor="text1" w:val="000000"/>
              </w:rPr>
            </w:pPr>
            <w:r>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не предусмотрено строительство сетей водоснабжения и водоотведения в мкр. Новобродовский.</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spacing w:val="0"/>
                <w:sz w:val="24"/>
                <w:szCs w:val="24"/>
                <w:highlight w:val="white"/>
              </w:rPr>
              <w:t>департамента жилищно-коммунального хозяйства администрации города Перми</w:t>
            </w:r>
            <w:r>
              <w:rPr>
                <w:spacing w:val="0"/>
                <w:sz w:val="24"/>
                <w:szCs w:val="24"/>
                <w:highlight w:val="white"/>
              </w:rPr>
              <w:t xml:space="preserve"> от 07.07.2025 № 059-04-17/3-595-ри).</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2"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35" w:before="0" w:afterAutospacing="0" w:after="0"/>
              <w:ind w:firstLine="311"/>
              <w:jc w:val="both"/>
              <w:rPr>
                <w:rFonts w:ascii="Times New Roman" w:hAnsi="Times New Roman"/>
                <w:color w:themeColor="text1" w:val="000000"/>
                <w:sz w:val="24"/>
                <w:szCs w:val="24"/>
              </w:rPr>
            </w:pPr>
            <w:r>
              <w:rPr>
                <w:color w:themeColor="text1" w:val="000000"/>
                <w:sz w:val="24"/>
                <w:szCs w:val="24"/>
                <w:lang w:val="en-US"/>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утвержденными введенным в действие Приказом Министерства строительстваи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w:t>
            </w:r>
            <w:r>
              <w:rPr>
                <w:color w:themeColor="text1" w:val="000000"/>
                <w:sz w:val="24"/>
                <w:szCs w:val="24"/>
              </w:rPr>
              <w:t xml:space="preserve"> </w:t>
            </w:r>
            <w:r>
              <w:rPr>
                <w:color w:themeColor="text1" w:val="000000"/>
                <w:sz w:val="24"/>
                <w:szCs w:val="24"/>
                <w:lang w:val="en-US"/>
              </w:rPr>
              <w:t xml:space="preserve">а также вспомогательные помещения: переднюю, кухню (в том числе кухню-столовую и (или) кухню-нишу), ванные комнаты и (или) душевые, туалет (уборную) </w:t>
              <w:br/>
              <w:t>или совмещенный санузел</w:t>
            </w:r>
            <w:r>
              <w:rPr>
                <w:color w:themeColor="text1" w:val="000000"/>
                <w:sz w:val="24"/>
                <w:szCs w:val="24"/>
              </w:rPr>
              <w:t>, переднюю.</w:t>
            </w:r>
          </w:p>
          <w:p>
            <w:pPr>
              <w:pStyle w:val="Normal"/>
              <w:spacing w:lineRule="auto" w:line="235" w:before="0" w:afterAutospacing="0" w:after="0"/>
              <w:ind w:firstLine="311"/>
              <w:jc w:val="both"/>
              <w:rPr>
                <w:rFonts w:ascii="Times New Roman" w:hAnsi="Times New Roman"/>
                <w:color w:themeColor="text1" w:val="000000"/>
                <w:sz w:val="24"/>
                <w:szCs w:val="24"/>
              </w:rPr>
            </w:pPr>
            <w:r>
              <w:rPr>
                <w:color w:themeColor="text1" w:val="000000"/>
                <w:sz w:val="24"/>
                <w:szCs w:val="24"/>
                <w:lang w:val="en-US"/>
              </w:rPr>
              <w:t>Согласно пункту 6.1 СП 55.13330.2016 площади помещений строящихся и реконструируемых жилых домов должны бытьне менее: общей комнаты в однокомнатном доме - 14 м</w:t>
            </w:r>
            <w:r>
              <w:rPr>
                <w:color w:themeColor="text1" w:val="000000"/>
                <w:sz w:val="24"/>
                <w:szCs w:val="24"/>
                <w:vertAlign w:val="superscript"/>
                <w:lang w:val="en-US"/>
              </w:rPr>
              <w:t>2</w:t>
            </w:r>
            <w:r>
              <w:rPr>
                <w:color w:themeColor="text1" w:val="000000"/>
                <w:sz w:val="24"/>
                <w:szCs w:val="24"/>
                <w:lang w:val="en-US"/>
              </w:rPr>
              <w:t>, общей комнаты в доме с числом комнат две и более - 16 м</w:t>
            </w:r>
            <w:r>
              <w:rPr>
                <w:color w:themeColor="text1" w:val="000000"/>
                <w:sz w:val="24"/>
                <w:szCs w:val="24"/>
                <w:vertAlign w:val="superscript"/>
                <w:lang w:val="en-US"/>
              </w:rPr>
              <w:t>2</w:t>
            </w:r>
            <w:r>
              <w:rPr>
                <w:color w:themeColor="text1" w:val="000000"/>
                <w:sz w:val="24"/>
                <w:szCs w:val="24"/>
                <w:lang w:val="en-US"/>
              </w:rPr>
              <w:t>, спальни - 8 м</w:t>
            </w:r>
            <w:r>
              <w:rPr>
                <w:color w:themeColor="text1" w:val="000000"/>
                <w:sz w:val="24"/>
                <w:szCs w:val="24"/>
                <w:vertAlign w:val="superscript"/>
                <w:lang w:val="en-US"/>
              </w:rPr>
              <w:t>2</w:t>
            </w:r>
            <w:r>
              <w:rPr>
                <w:color w:themeColor="text1" w:val="000000"/>
                <w:sz w:val="24"/>
                <w:szCs w:val="24"/>
                <w:lang w:val="en-US"/>
              </w:rPr>
              <w:t xml:space="preserve"> (на двух человек - 10 м</w:t>
            </w:r>
            <w:r>
              <w:rPr>
                <w:color w:themeColor="text1" w:val="000000"/>
                <w:sz w:val="24"/>
                <w:szCs w:val="24"/>
                <w:vertAlign w:val="superscript"/>
                <w:lang w:val="en-US"/>
              </w:rPr>
              <w:t>2</w:t>
            </w:r>
            <w:r>
              <w:rPr>
                <w:color w:themeColor="text1" w:val="000000"/>
                <w:sz w:val="24"/>
                <w:szCs w:val="24"/>
                <w:lang w:val="en-US"/>
              </w:rPr>
              <w:t>); кухни - 8 м</w:t>
            </w:r>
            <w:r>
              <w:rPr>
                <w:color w:themeColor="text1" w:val="000000"/>
                <w:sz w:val="24"/>
                <w:szCs w:val="24"/>
                <w:vertAlign w:val="superscript"/>
                <w:lang w:val="en-US"/>
              </w:rPr>
              <w:t>2</w:t>
            </w:r>
            <w:r>
              <w:rPr>
                <w:color w:themeColor="text1" w:val="000000"/>
                <w:sz w:val="24"/>
                <w:szCs w:val="24"/>
                <w:lang w:val="en-US"/>
              </w:rPr>
              <w:t xml:space="preserve">; кухонной зоны </w:t>
              <w:br/>
              <w:t>в кухне-столовой - 6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В домах с одной комнатой допускается проектировать кухни или кухни-ниши площадью не менее 5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Площадь спальни и кухни в мансардном этаже (или этаже с наклонными ограждающими конструкциями) допускается</w:t>
              <w:br/>
              <w:t>не менее 7 м</w:t>
            </w:r>
            <w:r>
              <w:rPr>
                <w:color w:themeColor="text1" w:val="000000"/>
                <w:sz w:val="24"/>
                <w:szCs w:val="24"/>
                <w:vertAlign w:val="superscript"/>
                <w:lang w:val="en-US"/>
              </w:rPr>
              <w:t>2</w:t>
            </w:r>
            <w:r>
              <w:rPr>
                <w:color w:themeColor="text1" w:val="000000"/>
                <w:sz w:val="24"/>
                <w:szCs w:val="24"/>
                <w:lang w:val="en-US"/>
              </w:rPr>
              <w:t xml:space="preserve"> при условии, что общая жилая комната имеет площадь не менее 16 м</w:t>
            </w:r>
            <w:r>
              <w:rPr>
                <w:color w:themeColor="text1" w:val="000000"/>
                <w:sz w:val="24"/>
                <w:szCs w:val="24"/>
                <w:vertAlign w:val="superscript"/>
                <w:lang w:val="en-US"/>
              </w:rPr>
              <w:t>2</w:t>
            </w:r>
            <w:r>
              <w:rPr>
                <w:color w:themeColor="text1" w:val="000000"/>
                <w:sz w:val="24"/>
                <w:szCs w:val="24"/>
                <w:lang w:val="en-US"/>
              </w:rPr>
              <w:t>.</w:t>
            </w:r>
          </w:p>
          <w:p>
            <w:pPr>
              <w:pStyle w:val="Normal"/>
              <w:spacing w:lineRule="auto" w:line="235" w:before="0" w:afterAutospacing="0" w:after="0"/>
              <w:ind w:firstLine="311"/>
              <w:jc w:val="both"/>
              <w:rPr>
                <w:rFonts w:ascii="Times New Roman" w:hAnsi="Times New Roman"/>
                <w:color w:themeColor="text1" w:val="000000"/>
                <w:sz w:val="24"/>
                <w:szCs w:val="24"/>
              </w:rPr>
            </w:pPr>
            <w:r>
              <w:rPr>
                <w:color w:themeColor="text1" w:val="000000"/>
                <w:sz w:val="24"/>
                <w:szCs w:val="24"/>
                <w:lang w:val="en-US"/>
              </w:rPr>
              <w:t xml:space="preserve">Согласно пункту 6.2 СП 55.13330.2016 высота </w:t>
              <w:br/>
              <w:t xml:space="preserve">(от пола до потолка) комнат и кухни (кухни-столовой) </w:t>
              <w:br/>
              <w:t xml:space="preserve">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w:t>
            </w:r>
            <w:r>
              <w:rPr>
                <w:color w:themeColor="text1" w:val="000000"/>
                <w:spacing w:val="-2"/>
                <w:sz w:val="24"/>
                <w:szCs w:val="24"/>
                <w:lang w:val="en-US"/>
              </w:rPr>
              <w:t>антресолей должна составлять не менее 2,1 м,</w:t>
            </w:r>
            <w:r>
              <w:rPr>
                <w:color w:themeColor="text1" w:val="000000"/>
                <w:spacing w:val="-2"/>
                <w:sz w:val="24"/>
                <w:szCs w:val="24"/>
              </w:rPr>
              <w:t xml:space="preserve"> </w:t>
            </w:r>
            <w:r>
              <w:rPr>
                <w:color w:themeColor="text1" w:val="000000"/>
                <w:spacing w:val="-2"/>
                <w:sz w:val="24"/>
                <w:szCs w:val="24"/>
                <w:lang w:val="en-US"/>
              </w:rPr>
              <w:t>а высота пути эвакуации -</w:t>
            </w:r>
            <w:r>
              <w:rPr>
                <w:color w:themeColor="text1" w:val="000000"/>
                <w:sz w:val="24"/>
                <w:szCs w:val="24"/>
                <w:lang w:val="en-US"/>
              </w:rPr>
              <w:t xml:space="preserve"> не менее</w:t>
            </w:r>
            <w:r>
              <w:rPr>
                <w:color w:themeColor="text1" w:val="000000"/>
                <w:sz w:val="24"/>
                <w:szCs w:val="24"/>
              </w:rPr>
              <w:t xml:space="preserve"> </w:t>
            </w:r>
            <w:r>
              <w:rPr>
                <w:color w:themeColor="text1" w:val="000000"/>
                <w:sz w:val="24"/>
                <w:szCs w:val="24"/>
                <w:lang w:val="en-US"/>
              </w:rPr>
              <w:t>2,2 м.</w:t>
            </w:r>
          </w:p>
          <w:p>
            <w:pPr>
              <w:pStyle w:val="Normal"/>
              <w:tabs>
                <w:tab w:val="clear" w:pos="708"/>
                <w:tab w:val="right" w:pos="6000" w:leader="none"/>
              </w:tabs>
              <w:spacing w:lineRule="auto" w:line="235" w:before="0" w:afterAutospacing="0" w:after="0"/>
              <w:ind w:firstLine="340"/>
              <w:jc w:val="both"/>
              <w:rPr>
                <w:rFonts w:ascii="Times New Roman" w:hAnsi="Times New Roman"/>
                <w:color w:themeColor="text1" w:val="000000"/>
                <w:sz w:val="24"/>
                <w:szCs w:val="24"/>
                <w14:ligatures w14:val="none"/>
              </w:rPr>
            </w:pPr>
            <w:r>
              <w:rPr>
                <w:color w:themeColor="text1" w:val="000000"/>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w:t>
            </w:r>
            <w:r>
              <w:rPr>
                <w:color w:themeColor="text1" w:val="000000"/>
                <w:sz w:val="24"/>
                <w:szCs w:val="24"/>
              </w:rPr>
              <w:t xml:space="preserve"> </w:t>
            </w:r>
            <w:r>
              <w:rPr>
                <w:color w:themeColor="text1" w:val="000000"/>
                <w:sz w:val="24"/>
                <w:szCs w:val="24"/>
                <w:lang w:val="en-US"/>
              </w:rPr>
              <w:t>до потолка), относительно нормируемой на площади, не превышающей 50%.</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highlight w:val="white"/>
              </w:rPr>
            </w:pPr>
            <w:r>
              <w:rPr>
                <w:color w:themeColor="text1" w:val="000000"/>
                <w:sz w:val="24"/>
              </w:rPr>
              <w:t xml:space="preserve">Согласно информации, содержащейся </w:t>
              <w:br/>
              <w:t xml:space="preserve">в Градостроительном плане земельного участка </w:t>
              <w:br/>
              <w:t>от 15.07.2025 № РФ-59-2-03-0-00-2025-1625-0 (далее – ГПЗУ),</w:t>
            </w:r>
            <w:r>
              <w:rPr>
                <w:color w:themeColor="text1" w:val="000000"/>
                <w:sz w:val="24"/>
                <w:highlight w:val="white"/>
              </w:rPr>
              <w:t xml:space="preserve"> документации по планировке территории, утвержденной постановлением администрации города Перми от 22.12.2017 № 1178, возможная предельная высота жилой застройки - до 10,5 метров.</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rPr>
            </w:pPr>
            <w:r>
              <w:rPr>
                <w:color w:themeColor="text1" w:val="000000"/>
                <w:sz w:val="24"/>
                <w:highlight w:val="white"/>
              </w:rPr>
              <w:t>Согласно ГПЗУ минимальный отступ от границ Уч</w:t>
            </w:r>
            <w:r>
              <w:rPr>
                <w:color w:themeColor="text1" w:val="000000"/>
                <w:sz w:val="24"/>
              </w:rPr>
              <w:t xml:space="preserve">астка до места допустимого размещения зданий, строений </w:t>
            </w:r>
            <w:r>
              <w:rPr>
                <w:color w:themeColor="text1" w:val="000000"/>
                <w:sz w:val="24"/>
                <w:szCs w:val="24"/>
              </w:rPr>
              <w:t>(за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w:t>
            </w:r>
            <w:r>
              <w:rPr>
                <w:color w:themeColor="text1" w:val="000000"/>
                <w:sz w:val="24"/>
              </w:rPr>
              <w:t xml:space="preserve"> – 3 м.</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rPr>
            </w:pPr>
            <w:r>
              <w:rPr>
                <w:color w:themeColor="text1" w:val="000000"/>
                <w:sz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35" w:before="0" w:after="0"/>
              <w:ind w:firstLine="340"/>
              <w:jc w:val="both"/>
              <w:rPr>
                <w:rFonts w:ascii="Times New Roman" w:hAnsi="Times New Roman"/>
                <w:color w:themeColor="text1" w:val="000000"/>
                <w:sz w:val="24"/>
              </w:rPr>
            </w:pPr>
            <w:r>
              <w:rPr>
                <w:color w:themeColor="text1" w:val="000000"/>
                <w:sz w:val="24"/>
              </w:rPr>
              <w:t>Максимальный процент застройки в границах Участка – 30%.</w:t>
            </w:r>
          </w:p>
          <w:p>
            <w:pPr>
              <w:pStyle w:val="Normal"/>
              <w:spacing w:lineRule="auto" w:line="235" w:before="0" w:after="0"/>
              <w:ind w:firstLine="340"/>
              <w:jc w:val="both"/>
              <w:rPr>
                <w:rFonts w:ascii="Times New Roman" w:hAnsi="Times New Roman"/>
                <w:color w:themeColor="text1" w:val="000000"/>
                <w:sz w:val="24"/>
                <w:szCs w:val="24"/>
              </w:rPr>
            </w:pPr>
            <w:r>
              <w:rPr>
                <w:rFonts w:eastAsia="Droid Sans Fallback" w:cs="Lohit Devanagari"/>
                <w:color w:themeColor="text1" w:val="000000"/>
                <w:kern w:val="0"/>
                <w:sz w:val="24"/>
                <w:szCs w:val="24"/>
                <w:highlight w:val="white"/>
                <w:lang w:val="ru-RU" w:eastAsia="zh-CN" w:bidi="ar-SA"/>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3"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 xml:space="preserve">Порядок технологического присоединения </w:t>
              <w:br/>
              <w:t>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Переченмероприятий по технологическому присоединению определяется в технических условиях.</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 xml:space="preserve">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w:t>
              <w:br/>
              <w:t>о технологическом присоединении.</w:t>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 ПОРТАЛ-ТП.РФ.</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themeColor="text1" w:val="000000"/>
                <w:spacing w:val="0"/>
                <w:sz w:val="24"/>
                <w:szCs w:val="24"/>
                <w:highlight w:val="white"/>
              </w:rPr>
              <w:t xml:space="preserve">ПАО «Россети Урал» - «Пермэнерго» Пермские </w:t>
            </w:r>
            <w:r>
              <w:rPr>
                <w:b/>
                <w:color w:themeColor="text1" w:val="000000"/>
                <w:spacing w:val="0"/>
                <w:sz w:val="24"/>
                <w:szCs w:val="24"/>
                <w:highlight w:val="white"/>
              </w:rPr>
              <w:t>городские электрические сети»</w:t>
            </w:r>
            <w:r>
              <w:rPr>
                <w:color w:themeColor="text1" w:val="000000"/>
                <w:spacing w:val="0"/>
                <w:sz w:val="24"/>
                <w:szCs w:val="24"/>
                <w:highlight w:val="white"/>
              </w:rPr>
              <w:t xml:space="preserve"> от 18.07.2025 № ПЭ/ПГЭС/01/22/8726</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7"/>
              <w:jc w:val="both"/>
              <w:rPr>
                <w:rFonts w:ascii="Times New Roman" w:hAnsi="Times New Roman"/>
                <w:color w:themeColor="text1" w:val="000000"/>
                <w:sz w:val="24"/>
                <w:szCs w:val="24"/>
              </w:rPr>
            </w:pPr>
            <w:r>
              <w:rPr>
                <w:color w:themeColor="text1" w:val="000000"/>
                <w:sz w:val="24"/>
                <w:szCs w:val="24"/>
              </w:rPr>
              <w:t>Участок расположен вне зоны теплоснабжения ПАО «Т Плюс».</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Для запроса информации о возможности подключения земельного участка рекомендуется обратиться 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ПАО «Т Плюс»</w:t>
            </w:r>
            <w:r>
              <w:rPr>
                <w:color w:themeColor="text1" w:val="000000"/>
                <w:spacing w:val="0"/>
                <w:sz w:val="24"/>
                <w:szCs w:val="24"/>
                <w:highlight w:val="white"/>
              </w:rPr>
              <w:t xml:space="preserve"> от 09.07.2025 № 51000-32-02492</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 xml:space="preserve">Техническая возможность подключения </w:t>
              <w:br/>
              <w:t>к сетям теплоснабжения отсутствует. Рекомендовано рассмотреть альтернативный источник теплоснабжения – газ, электричество, дрова, пеллеты.</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департамента жилищно-коммунального хозяйства администрации города Перми</w:t>
            </w:r>
            <w:r>
              <w:rPr>
                <w:color w:themeColor="text1" w:val="000000"/>
                <w:spacing w:val="0"/>
                <w:sz w:val="24"/>
                <w:szCs w:val="24"/>
                <w:highlight w:val="white"/>
              </w:rPr>
              <w:t xml:space="preserve"> от 30.07.2025 № 059-04-17/3-685-ри</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25" w:left="0" w:right="0"/>
              <w:jc w:val="both"/>
              <w:rPr>
                <w:rFonts w:ascii="Times New Roman" w:hAnsi="Times New Roman"/>
                <w:color w:themeColor="text1" w:val="000000"/>
                <w:sz w:val="24"/>
                <w:szCs w:val="24"/>
                <w:highlight w:val="none"/>
                <w14:ligatures w14:val="none"/>
              </w:rPr>
            </w:pPr>
            <w:r>
              <w:rPr>
                <w:color w:themeColor="text1" w:val="000000"/>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425" w:left="0" w:right="0"/>
              <w:jc w:val="both"/>
              <w:rPr>
                <w:rFonts w:ascii="Times New Roman" w:hAnsi="Times New Roman"/>
                <w:color w:themeColor="text1" w:val="000000"/>
                <w:sz w:val="24"/>
                <w:szCs w:val="24"/>
                <w:highlight w:val="none"/>
                <w14:ligatures w14:val="none"/>
              </w:rPr>
            </w:pPr>
            <w:r>
              <w:rPr>
                <w:color w:themeColor="text1" w:val="000000"/>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themeColor="text1" w:val="000000"/>
                <w:spacing w:val="0"/>
                <w:sz w:val="24"/>
                <w:szCs w:val="24"/>
                <w:highlight w:val="white"/>
              </w:rPr>
              <w:t>АО «Газпром газораспределение Пермь»</w:t>
            </w:r>
            <w:r>
              <w:rPr>
                <w:color w:themeColor="text1" w:val="000000"/>
                <w:spacing w:val="0"/>
                <w:sz w:val="24"/>
                <w:szCs w:val="24"/>
                <w:highlight w:val="white"/>
              </w:rPr>
              <w:t xml:space="preserve"> от 04.07.2025 № ПФ-4685</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О наличии технической возможности для подключения сетей водоснабжения и водоотведения с предполагаемой величиной нагрузки 1,0 м3/сут. сообщается, </w:t>
              <w:br/>
              <w:t xml:space="preserve"> что в районе, где расположен Участок, отсутствуют централизованные сети водоснабжения и водоотведения, эксплуатируемые ООО «Новогор-Прикамье».</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lang w:val="ru-RU" w:eastAsia="ru-RU" w:bidi="ru-RU"/>
              </w:rPr>
              <w:t xml:space="preserve"> </w:t>
            </w:r>
            <w:r>
              <w:rPr>
                <w:color w:themeColor="text1" w:val="000000"/>
                <w:sz w:val="24"/>
                <w:szCs w:val="24"/>
                <w:lang w:val="ru-RU" w:eastAsia="ru-RU" w:bidi="ru-RU"/>
              </w:rPr>
              <w:t>Ближайшей сетью водоснабжения, эксплуатируемой ООО «НОВОГОР- Прикамье», располагаются в районе здания по Бродовскому тракту, 15 ориентировочно на расстоянии - 10,00 км от выше указанного земельного участка. Ближайшие сети водоотведения, эксплуатируемой ООО «НОВОГОР- Прикамье», располагаются в районе здания по ул. Героев Хасана, 109/2 ориентировочно на расстоянии - 11,0 км от выше указанного земельного участка.</w:t>
            </w:r>
          </w:p>
          <w:p>
            <w:pPr>
              <w:pStyle w:val="Normal"/>
              <w:spacing w:lineRule="auto" w:line="240" w:before="0" w:after="0"/>
              <w:ind w:firstLine="425" w:left="0" w:right="0"/>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При проектировании может быть применен альтернативный способ водоснабжения без подключения к централизованной системе водоснабжения (от скважины) и альтернативный способ канализования, без подключения к централизованной системе канализации г. Перми (отвод стоков на локальные очистные сооружения, канализование объекта в выгребную яму с последующим вывозом стоков спец. машинами), который должен соответствовать всем нормативным требованиям Российской Федерации.</w:t>
            </w:r>
          </w:p>
          <w:p>
            <w:pPr>
              <w:pStyle w:val="Normal"/>
              <w:spacing w:lineRule="auto" w:line="240" w:before="0" w:after="0"/>
              <w:ind w:firstLine="425" w:left="0" w:right="0"/>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Кроме того, ООО «НОВОГОР-Прикамье» не располагает сведениями о наличии сетей 3-х лиц в границах Участка.</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 xml:space="preserve">ООО «НОВОГОР-Прикамье» </w:t>
            </w:r>
            <w:r>
              <w:rPr>
                <w:color w:themeColor="text1" w:val="000000"/>
                <w:spacing w:val="0"/>
                <w:sz w:val="24"/>
                <w:szCs w:val="24"/>
                <w:highlight w:val="white"/>
              </w:rPr>
              <w:t>от 09.07.2025 № 110-10051</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25" w:left="0" w:right="0"/>
              <w:jc w:val="both"/>
              <w:rPr/>
            </w:pPr>
            <w:r>
              <w:rPr>
                <w:b w:val="false"/>
                <w:bCs w:val="false"/>
                <w:color w:themeColor="text1" w:val="000000"/>
                <w:sz w:val="24"/>
                <w:szCs w:val="24"/>
              </w:rPr>
              <w:t>Технологическое присоединение к сетям связи ПАО «Ростелеком» может быть произведено к узлу ВОЛС(г. Пермь, ул. Патриса Лумумбы, 6),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425" w:left="0" w:right="0"/>
              <w:jc w:val="both"/>
              <w:rPr>
                <w:b w:val="false"/>
                <w:bCs w:val="false"/>
                <w:color w:themeColor="text1" w:val="000000"/>
              </w:rPr>
            </w:pPr>
            <w:r>
              <w:rPr>
                <w:b w:val="false"/>
                <w:bCs w:val="false"/>
                <w:color w:themeColor="text1" w:val="000000"/>
                <w:sz w:val="24"/>
                <w:szCs w:val="24"/>
              </w:rPr>
              <w:t>В границах Участка сетей связи ПАО «Ростелеком» и их охранных зон нет.</w:t>
            </w:r>
          </w:p>
          <w:p>
            <w:pPr>
              <w:pStyle w:val="Normal"/>
              <w:spacing w:lineRule="auto" w:line="240" w:before="0" w:after="0"/>
              <w:ind w:firstLine="452"/>
              <w:jc w:val="both"/>
              <w:rPr>
                <w:rFonts w:ascii="Times New Roman" w:hAnsi="Times New Roman"/>
                <w:b w:val="false"/>
                <w:bCs w:val="false"/>
                <w:color w:themeColor="text1" w:val="000000"/>
                <w:sz w:val="24"/>
                <w:szCs w:val="24"/>
                <w:highlight w:val="none"/>
              </w:rPr>
            </w:pPr>
            <w:r>
              <w:rPr>
                <w:b w:val="false"/>
                <w:bCs w:val="false"/>
                <w:color w:themeColor="text1" w:val="000000"/>
                <w:sz w:val="24"/>
                <w:szCs w:val="24"/>
              </w:rPr>
              <w:t xml:space="preserve">Для получения технических условий на подключение к сетям связи необходимо обратиться в Отдел продаж и обслуживания по адресу: г. Пермь, ул. Крупской, 2, тел.:(342) 235-57-34 или направить запрос на </w:t>
            </w:r>
            <w:hyperlink r:id="rId14" w:tgtFrame="mailto:perm-mail@ural.rt.ru.">
              <w:r>
                <w:rPr>
                  <w:rStyle w:val="Hyperlink"/>
                  <w:b w:val="false"/>
                  <w:bCs w:val="false"/>
                  <w:color w:themeColor="text1" w:val="000000"/>
                  <w:sz w:val="24"/>
                  <w:szCs w:val="24"/>
                </w:rPr>
                <w:t>perm-mail@ural.rt.ru.</w:t>
              </w:r>
            </w:hyperlink>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themeColor="text1" w:val="000000"/>
                <w:spacing w:val="0"/>
                <w:sz w:val="24"/>
                <w:szCs w:val="24"/>
                <w:highlight w:val="white"/>
              </w:rPr>
              <w:t xml:space="preserve">ПАО «Ростелеком» </w:t>
            </w:r>
            <w:r>
              <w:rPr>
                <w:b w:val="false"/>
                <w:bCs w:val="false"/>
                <w:color w:themeColor="text1" w:val="000000"/>
                <w:spacing w:val="0"/>
                <w:sz w:val="24"/>
                <w:szCs w:val="24"/>
                <w:highlight w:val="white"/>
              </w:rPr>
              <w:t>от 09.07.2025 № 01/05/101078/25</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rPr>
              <w:t xml:space="preserve">По условиям пункта 4.3 проекта договора аренды земельного участка, приобретаемого на торгах в форме аукциона, для строительства (Приложение 3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(далее – ЗК РФ), обязан до подписания договора уплатить ежегодный размер арендной платы, указанный в п. 4.2 договора </w:t>
              <w:br/>
              <w:t xml:space="preserve">(за вычетом задатка, внесенного для участия </w:t>
              <w:br/>
              <w:t xml:space="preserve">в аукционе) </w:t>
            </w:r>
            <w:r>
              <w:rPr>
                <w:b/>
                <w:bCs/>
                <w:sz w:val="24"/>
                <w:szCs w:val="24"/>
              </w:rPr>
              <w:t xml:space="preserve">за 1 год </w:t>
            </w:r>
            <w:r>
              <w:rPr>
                <w:b w:val="false"/>
                <w:bCs w:val="false"/>
                <w:sz w:val="24"/>
                <w:szCs w:val="24"/>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w:t>
            </w:r>
            <w:r>
              <w:rPr>
                <w:b w:val="false"/>
                <w:bCs w:val="false"/>
                <w:sz w:val="24"/>
                <w:szCs w:val="24"/>
                <w:shd w:fill="auto" w:val="clear"/>
              </w:rPr>
              <w:t>реквизиты которого указаны в проекте договора аренды земельного участка (Приложение 3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517 800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25 890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b/>
                <w:bCs/>
                <w:color w:val="000000"/>
                <w:sz w:val="24"/>
                <w:szCs w:val="24"/>
                <w:shd w:fill="auto" w:val="clear"/>
                <w14:ligatures w14:val="none"/>
              </w:rPr>
            </w:pPr>
            <w:r>
              <w:rPr>
                <w:b/>
                <w:bCs/>
                <w:color w:val="000000"/>
                <w:sz w:val="24"/>
                <w:szCs w:val="24"/>
                <w:shd w:fill="auto" w:val="clear"/>
              </w:rPr>
              <w:t>Решение о проведении аукциона принято в соответствии со статьей 39.11 Земельного кодекса Российской Федерации, аукцион является открытым по составу участников.</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258 900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3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rFonts w:eastAsia="Courier New"/>
          <w:b/>
          <w:bCs/>
          <w:highlight w:val="none"/>
          <w:lang w:bidi="ru-RU"/>
        </w:rPr>
      </w:pPr>
      <w:r>
        <w:rPr>
          <w:rFonts w:eastAsia="Courier New"/>
          <w:b/>
          <w:bCs/>
          <w:lang w:bidi="ru-RU"/>
        </w:rPr>
      </w:r>
    </w:p>
    <w:p>
      <w:pPr>
        <w:pStyle w:val="Normal"/>
        <w:tabs>
          <w:tab w:val="clear" w:pos="708"/>
          <w:tab w:val="left" w:pos="5103" w:leader="none"/>
        </w:tabs>
        <w:ind w:right="-263"/>
        <w:rPr>
          <w:rFonts w:eastAsia="Courier New"/>
          <w:b/>
          <w:bCs/>
          <w:highlight w:val="none"/>
          <w:lang w:bidi="ru-RU"/>
        </w:rPr>
      </w:pPr>
      <w:r>
        <w:rPr>
          <w:rFonts w:eastAsia="Courier New"/>
          <w:b/>
          <w:bCs/>
          <w:lang w:val="en-US" w:bidi="ru-RU"/>
        </w:rPr>
        <w:t>Лот № 4</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Droid Sans Fallback" w:cs="Lohit Devanagari"/>
                <w:color w:val="auto"/>
                <w:sz w:val="20"/>
                <w:szCs w:val="24"/>
                <w:lang w:val="ru-RU" w:eastAsia="zh-CN" w:bidi="ar-SA"/>
              </w:rPr>
              <w:t xml:space="preserve"> </w:t>
            </w:r>
            <w:r>
              <w:rPr>
                <w:rFonts w:eastAsia="Droid Sans Fallback" w:cs="Lohit Devanagari"/>
                <w:color w:val="auto"/>
                <w:sz w:val="24"/>
                <w:szCs w:val="28"/>
                <w:lang w:val="ru-RU" w:eastAsia="zh-CN" w:bidi="ar-SA"/>
              </w:rPr>
              <w:t>от 15 августа 2025 г. № 21-01-03-6623 «О проведении аукциона на право заключения договора аренды земельного участка в Свердловском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жилой район Ново-Бродовский, улица Малиновая, з/у 48</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1000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59:01:5010066:3</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13.10.2025г. No КУВИ-001/2025-190088233 (далее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18.07.2025 № РФ-59-2-03-0-00-2025-1642-0 (далее – ГПЗУ).</w:t>
            </w:r>
          </w:p>
          <w:p>
            <w:pPr>
              <w:pStyle w:val="Normal"/>
              <w:jc w:val="both"/>
              <w:rPr>
                <w:sz w:val="24"/>
                <w:szCs w:val="24"/>
              </w:rPr>
            </w:pPr>
            <w:r>
              <w:rPr>
                <w:sz w:val="24"/>
                <w:szCs w:val="24"/>
              </w:rPr>
            </w:r>
          </w:p>
          <w:p>
            <w:pPr>
              <w:pStyle w:val="Normal"/>
              <w:spacing w:lineRule="auto" w:line="240" w:before="0" w:after="0"/>
              <w:ind w:firstLine="425" w:left="0" w:right="0"/>
              <w:jc w:val="both"/>
              <w:rPr>
                <w:rFonts w:ascii="Times New Roman" w:hAnsi="Times New Roman"/>
                <w:color w:themeColor="text1" w:val="000000"/>
                <w:sz w:val="24"/>
                <w:szCs w:val="24"/>
                <w:highlight w:val="white"/>
              </w:rPr>
            </w:pPr>
            <w:r>
              <w:rPr>
                <w:color w:themeColor="text1" w:val="000000"/>
                <w:sz w:val="24"/>
                <w:szCs w:val="24"/>
              </w:rPr>
              <w:t xml:space="preserve">Земельный участок </w:t>
            </w:r>
            <w:r>
              <w:rPr>
                <w:color w:themeColor="text1" w:val="000000"/>
                <w:sz w:val="24"/>
                <w:szCs w:val="24"/>
                <w:highlight w:val="white"/>
              </w:rPr>
              <w:t>ограждений не имеет. На территории участка расположена дикорастущая травянистая и древесно-кустарниковая растительность, лесной массив, имеются признаки зарастания более 50% площади земельного участка дикорастущими деревьями.</w:t>
            </w:r>
          </w:p>
          <w:p>
            <w:pPr>
              <w:pStyle w:val="Normal"/>
              <w:spacing w:lineRule="auto" w:line="240" w:before="0" w:after="0"/>
              <w:ind w:firstLine="425" w:left="0" w:right="0"/>
              <w:jc w:val="both"/>
              <w:rPr>
                <w:color w:themeColor="text1" w:val="000000"/>
                <w:highlight w:val="white"/>
              </w:rPr>
            </w:pPr>
            <w:r>
              <w:rPr>
                <w:color w:themeColor="text1" w:val="000000"/>
                <w:sz w:val="24"/>
                <w:szCs w:val="24"/>
                <w:highlight w:val="white"/>
              </w:rPr>
              <w:t>На земельном участке объекты движимого и (или) недвижимого имущества, самовольно установленные и незаконно размещенные движимые объекты, самовольные постройки отсутствуют.</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rPr>
              <w:t>Близлежащие источники противопожарного водоснабжения относительно Участка расположены ул. Виноградная, 22 емкость 100 куб.м, собственник (гарантирующая организация) ЖК «Янтарный»; по ул. Ореховая, 102, емкость 100 куб.м, муниципальная собственность.</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администрации Свердловского района города Перми</w:t>
            </w:r>
            <w:r>
              <w:rPr>
                <w:color w:themeColor="text1" w:val="000000"/>
                <w:spacing w:val="0"/>
                <w:sz w:val="24"/>
                <w:szCs w:val="24"/>
                <w:highlight w:val="white"/>
              </w:rPr>
              <w:t xml:space="preserve"> от 14.07.2025 № 059-39-01-30/3-367 и в акте обследования от 10.07.2025</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25" w:left="0" w:right="0"/>
              <w:jc w:val="both"/>
              <w:rPr>
                <w:rFonts w:ascii="Times New Roman" w:hAnsi="Times New Roman"/>
                <w:color w:val="FF0000"/>
                <w:sz w:val="24"/>
                <w:szCs w:val="24"/>
                <w:highlight w:val="yellow"/>
              </w:rPr>
            </w:pPr>
            <w:r>
              <w:rPr>
                <w:sz w:val="24"/>
                <w:szCs w:val="24"/>
                <w:highlight w:val="white"/>
              </w:rPr>
              <w:t xml:space="preserve">В соответствии со сведениями ЕГРН, копией планшета М 1:1000 (требуется корректура), </w:t>
            </w:r>
            <w:r>
              <w:rPr>
                <w:color w:val="auto"/>
                <w:sz w:val="24"/>
                <w:szCs w:val="24"/>
                <w:highlight w:val="white"/>
              </w:rPr>
              <w:t xml:space="preserve">геодезической съемкой, </w:t>
            </w:r>
            <w:r>
              <w:rPr>
                <w:sz w:val="24"/>
                <w:szCs w:val="24"/>
                <w:highlight w:val="white"/>
              </w:rPr>
              <w:t xml:space="preserve">выполненной в 2024 году, объекты капитального/некапитального строительства </w:t>
              <w:br/>
              <w:t>в границах Участка отсутствуют.</w:t>
            </w:r>
          </w:p>
          <w:p>
            <w:pPr>
              <w:pStyle w:val="Normal"/>
              <w:spacing w:lineRule="auto" w:line="240" w:before="0" w:afterAutospacing="0" w:after="0"/>
              <w:ind w:firstLine="425" w:left="0" w:right="0"/>
              <w:jc w:val="both"/>
              <w:rPr>
                <w:rFonts w:ascii="Times New Roman" w:hAnsi="Times New Roman" w:eastAsia="Times New Roman" w:cs="Times New Roman"/>
                <w:color w:themeColor="text1" w:val="000000"/>
                <w:sz w:val="24"/>
                <w:szCs w:val="24"/>
              </w:rPr>
            </w:pPr>
            <w:r>
              <w:rPr>
                <w:rFonts w:eastAsia="Times New Roman" w:cs="Times New Roman"/>
                <w:color w:themeColor="text1" w:val="000000"/>
                <w:sz w:val="24"/>
                <w:szCs w:val="24"/>
              </w:rPr>
            </w:r>
          </w:p>
          <w:p>
            <w:pPr>
              <w:pStyle w:val="Normal"/>
              <w:spacing w:lineRule="auto" w:line="240" w:before="0" w:afterAutospacing="0" w:after="0"/>
              <w:ind w:firstLine="311"/>
              <w:jc w:val="both"/>
              <w:rPr>
                <w:rFonts w:ascii="Times New Roman" w:hAnsi="Times New Roman"/>
                <w:color w:themeColor="text1" w:val="000000"/>
                <w:sz w:val="24"/>
                <w:szCs w:val="24"/>
                <w:highlight w:val="none"/>
              </w:rPr>
            </w:pPr>
            <w:r>
              <w:rPr>
                <w:color w:themeColor="text1" w:val="000000"/>
                <w:sz w:val="24"/>
                <w:szCs w:val="24"/>
              </w:rPr>
              <w:t xml:space="preserve">Согласно сведениям, содержащимся в ЕГРН, ГПЗУ </w:t>
              <w:br/>
              <w:t xml:space="preserve">и справке по градостроительным условиям участка </w:t>
              <w:br/>
              <w:t>от 09.10.2025 № 649521 Участок расположен в границах зоны с особыми условиями использования территории: приаэродромная территория аэродрома аэропорта Большое Савино, реестровый номер 59:32-6.553.</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t>Проектирование и строительство вести в соответствии:</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t>с постановлением Правительства Российской Федерации от 11.03.2010 № 138 «Об утверждении</w:t>
            </w:r>
            <w:r>
              <w:rPr>
                <w:color w:themeColor="text1" w:val="000000"/>
                <w:sz w:val="24"/>
                <w:szCs w:val="24"/>
              </w:rPr>
              <w:t xml:space="preserve">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452"/>
              <w:jc w:val="both"/>
              <w:rPr/>
            </w:pPr>
            <w:r>
              <w:rPr>
                <w:color w:themeColor="text1" w:val="000000"/>
                <w:sz w:val="24"/>
                <w:szCs w:val="24"/>
              </w:rPr>
              <w:t>На Участке произрастает 33 дерева: ель 20 шт., ива 4 шт., береза 4 шт., осина 5 шт.,  кустарник боярышника 1 шт.</w:t>
            </w:r>
          </w:p>
          <w:p>
            <w:pPr>
              <w:pStyle w:val="Normal"/>
              <w:spacing w:lineRule="auto" w:line="240" w:before="0" w:after="0"/>
              <w:ind w:firstLine="311"/>
              <w:jc w:val="both"/>
              <w:rPr>
                <w:rFonts w:ascii="Times New Roman" w:hAnsi="Times New Roman"/>
                <w:color w:themeColor="text1" w:val="000000"/>
                <w:sz w:val="24"/>
                <w:szCs w:val="24"/>
                <w:highlight w:val="none"/>
              </w:rPr>
            </w:pPr>
            <w:r>
              <w:rPr>
                <w:color w:themeColor="text1" w:val="000000"/>
                <w:sz w:val="24"/>
                <w:szCs w:val="24"/>
                <w:highlight w:val="white"/>
              </w:rPr>
              <w:t>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rFonts w:ascii="Times New Roman" w:hAnsi="Times New Roman" w:eastAsia="Times New Roman" w:cs="Times New Roman"/>
                <w:color w:themeColor="text1" w:val="000000"/>
                <w:spacing w:val="0"/>
                <w14:ligatures w14:val="none"/>
              </w:rPr>
            </w:pPr>
            <w:r>
              <w:rPr>
                <w:rFonts w:eastAsia="Times New Roman" w:cs="Times New Roman"/>
                <w:color w:themeColor="text1" w:val="000000"/>
                <w:spacing w:val="0"/>
                <w:sz w:val="24"/>
              </w:rPr>
              <w:t xml:space="preserve">Победителю аукциона необходимо соблюдать условия строительства, перечисленные в </w:t>
            </w:r>
            <w:r>
              <w:rPr>
                <w:rFonts w:eastAsia="Times New Roman" w:cs="Times New Roman"/>
                <w:color w:themeColor="text1" w:val="000000"/>
                <w:spacing w:val="0"/>
                <w:sz w:val="24"/>
                <w:szCs w:val="24"/>
              </w:rPr>
              <w:t>перечне мероприятий по охране окружающей среды от 10.07.2025 № 194 (прилагается).</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Управления по экологии и природопользованию администрации города Перми</w:t>
            </w:r>
            <w:r>
              <w:rPr>
                <w:color w:themeColor="text1" w:val="000000"/>
                <w:spacing w:val="0"/>
                <w:sz w:val="24"/>
                <w:szCs w:val="24"/>
                <w:highlight w:val="white"/>
              </w:rPr>
              <w:t xml:space="preserve"> от 11.07.2025 № 059-33-01-10/3-445</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52"/>
              <w:jc w:val="both"/>
              <w:rPr/>
            </w:pPr>
            <w:r>
              <w:rPr>
                <w:color w:themeColor="text1" w:val="000000"/>
                <w:sz w:val="24"/>
                <w:szCs w:val="24"/>
              </w:rPr>
              <w:t>Бюджетом города Перми на период 2025-2029 годы мероприятия по строительству, реконструкции, капитальному ремонту улично-дорожной сети на рассматриваемых территориях не предусмотрены.</w:t>
            </w:r>
          </w:p>
          <w:p>
            <w:pPr>
              <w:pStyle w:val="Normal"/>
              <w:spacing w:lineRule="auto" w:line="240" w:before="0" w:after="0"/>
              <w:ind w:firstLine="452"/>
              <w:jc w:val="both"/>
              <w:rPr/>
            </w:pPr>
            <w:r>
              <w:rPr>
                <w:color w:themeColor="text1" w:val="000000"/>
                <w:sz w:val="24"/>
                <w:szCs w:val="24"/>
              </w:rPr>
              <w:t>Дополнительно сообщаем, постановлением администрации города Перми от 22.12.2017 № 1178 в отношении территории, в границах которой расположены Земельные участки, утверждены проект планировки территории и проект межевания территории.</w:t>
            </w:r>
          </w:p>
          <w:p>
            <w:pPr>
              <w:pStyle w:val="Normal"/>
              <w:spacing w:lineRule="auto" w:line="240" w:before="0" w:after="0"/>
              <w:ind w:firstLine="452"/>
              <w:jc w:val="both"/>
              <w:rPr/>
            </w:pPr>
            <w:r>
              <w:rPr>
                <w:color w:themeColor="text1" w:val="000000"/>
                <w:sz w:val="24"/>
                <w:szCs w:val="24"/>
              </w:rPr>
              <w:t xml:space="preserve">Проектом планировки территории </w:t>
              <w:br/>
              <w:t>не предусмотрено установление красных линий, обозначающих территории общего пользования (улицы, проезды), для обеспечения доступа к Земельным участкам.</w:t>
            </w:r>
          </w:p>
          <w:p>
            <w:pPr>
              <w:pStyle w:val="Normal"/>
              <w:spacing w:lineRule="auto" w:line="240" w:before="0" w:after="0"/>
              <w:ind w:firstLine="452"/>
              <w:jc w:val="both"/>
              <w:rPr>
                <w:b/>
                <w:bCs/>
              </w:rPr>
            </w:pPr>
            <w:r>
              <w:rPr>
                <w:b/>
                <w:bCs/>
                <w:color w:themeColor="text1" w:val="000000"/>
                <w:sz w:val="24"/>
                <w:szCs w:val="24"/>
              </w:rPr>
              <w:t>По информации, имеющейся в департаменте дорог и благоустройства администрации города Перми, в настоящее время условия примыкания Земельных участков к улично-дорожной сети города Перми отсутствуют.</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департамента дорог и благоустройства администрации города Перми</w:t>
            </w:r>
            <w:r>
              <w:rPr>
                <w:color w:themeColor="text1" w:val="000000"/>
                <w:spacing w:val="0"/>
                <w:sz w:val="24"/>
                <w:szCs w:val="24"/>
                <w:highlight w:val="white"/>
              </w:rPr>
              <w:t xml:space="preserve"> от 03.07.2025 № 059-24-01-36/3-2325</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59"/>
              <w:jc w:val="both"/>
              <w:rPr>
                <w:rFonts w:ascii="Times New Roman" w:hAnsi="Times New Roman"/>
                <w:color w:themeColor="text1" w:val="000000"/>
                <w:sz w:val="24"/>
                <w:szCs w:val="24"/>
                <w:highlight w:val="none"/>
              </w:rPr>
            </w:pPr>
            <w:r>
              <w:rPr>
                <w:color w:themeColor="text1" w:val="000000"/>
                <w:sz w:val="24"/>
                <w:szCs w:val="24"/>
              </w:rPr>
              <w:t>Источники</w:t>
            </w:r>
            <w:r>
              <w:rPr>
                <w:color w:themeColor="text1" w:val="000000"/>
                <w:sz w:val="24"/>
                <w:szCs w:val="24"/>
                <w:highlight w:val="white"/>
              </w:rPr>
              <w:t xml:space="preserve"> противопожарного водоснабжения (пожарный водоем) расположен в радиусе от 550 до 800 метров по адресу: ул. Виноградная, 24-26 (далее - ИПВ)</w:t>
            </w:r>
          </w:p>
          <w:p>
            <w:pPr>
              <w:pStyle w:val="Normal"/>
              <w:spacing w:lineRule="auto" w:line="240" w:before="0" w:after="0"/>
              <w:ind w:firstLine="452"/>
              <w:jc w:val="both"/>
              <w:rPr>
                <w:rFonts w:ascii="Times New Roman" w:hAnsi="Times New Roman"/>
                <w:color w:themeColor="text1" w:val="000000"/>
                <w:sz w:val="24"/>
                <w:szCs w:val="24"/>
                <w14:ligatures w14:val="none"/>
              </w:rPr>
            </w:pPr>
            <w:r>
              <w:rPr>
                <w:color w:themeColor="text1" w:val="000000"/>
                <w:sz w:val="24"/>
                <w:szCs w:val="24"/>
              </w:rPr>
              <w:t xml:space="preserve">При планировке и размещении объектов </w:t>
              <w:br/>
              <w:t>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w:t>
            </w:r>
          </w:p>
          <w:p>
            <w:pPr>
              <w:pStyle w:val="Normal"/>
              <w:spacing w:lineRule="auto" w:line="240" w:before="0" w:after="0"/>
              <w:ind w:firstLine="452"/>
              <w:jc w:val="both"/>
              <w:rPr>
                <w:rFonts w:ascii="Times New Roman" w:hAnsi="Times New Roman"/>
                <w:color w:themeColor="text1" w:val="000000"/>
                <w:sz w:val="24"/>
                <w:szCs w:val="24"/>
                <w14:ligatures w14:val="none"/>
              </w:rPr>
            </w:pPr>
            <w:r>
              <w:rPr>
                <w:color w:themeColor="text1" w:val="000000"/>
                <w:sz w:val="24"/>
                <w:szCs w:val="24"/>
              </w:rPr>
              <w:t xml:space="preserve">Информация о подразделениях пожарной охраны </w:t>
              <w:br/>
              <w:t xml:space="preserve">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Подразделение пожарной охраны расположено по адресу: ул. Белинского, 5 </w:t>
              <w:br/>
              <w:t xml:space="preserve">(ПСЧ-5 10-ПСО) и ул. Балхашская, 135 </w:t>
              <w:br/>
              <w:t>(СПСЧ-8 10- ПСО).</w:t>
            </w:r>
          </w:p>
          <w:p>
            <w:pPr>
              <w:pStyle w:val="Normal"/>
              <w:spacing w:lineRule="auto" w:line="240" w:before="0" w:after="0"/>
              <w:ind w:firstLine="452"/>
              <w:jc w:val="both"/>
              <w:rPr>
                <w:rFonts w:ascii="Times New Roman" w:hAnsi="Times New Roman"/>
                <w:color w:themeColor="text1" w:val="000000"/>
                <w:sz w:val="24"/>
                <w:szCs w:val="24"/>
                <w14:ligatures w14:val="none"/>
              </w:rPr>
            </w:pPr>
            <w:r>
              <w:rPr>
                <w:color w:themeColor="text1" w:val="000000"/>
                <w:sz w:val="24"/>
                <w:szCs w:val="24"/>
              </w:rPr>
              <w:t xml:space="preserve">Помещения для аварийно-спасательных служб </w:t>
              <w:br/>
              <w:t xml:space="preserve">и (или) аварийно-спасательных формирований </w:t>
              <w:br/>
              <w:t>на указанной территории отсутствуют.</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 xml:space="preserve">Объекты общественной безопасности, отнесенные </w:t>
              <w:br/>
              <w:t xml:space="preserve">к объектам полиции (участковые пункты полиции) </w:t>
              <w:br/>
              <w:t xml:space="preserve">в данном микрорайоне (Новобродовский) отсутствуют. Ближайший участковый пункт расположен по адресу: </w:t>
              <w:br/>
              <w:t>г. Пермь, ул. Казахская д. 104 (микрорайон Южный, Свердловский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452"/>
              <w:jc w:val="both"/>
              <w:rPr/>
            </w:pPr>
            <w:r>
              <w:rPr>
                <w:color w:themeColor="text1" w:val="000000"/>
                <w:sz w:val="24"/>
                <w:szCs w:val="24"/>
              </w:rPr>
              <w:t>По информации предоставленной письмом Министерства территориальной безопасности Пермского края от 07.10.2020 № 964с, рассматриваемая территория попадает в зону возможного химического заражения в особый период. 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 утвержденные Приказом Минстроя России от 12.11.2014 № 705/пр.</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департамента общественной безопасности администрации города Перми</w:t>
            </w:r>
            <w:r>
              <w:rPr>
                <w:color w:themeColor="text1" w:val="000000"/>
                <w:spacing w:val="0"/>
                <w:sz w:val="24"/>
                <w:szCs w:val="24"/>
                <w:highlight w:val="white"/>
              </w:rPr>
              <w:t xml:space="preserve"> от 04.07.2025 № 059-10-01-27/3-1461</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52"/>
              <w:jc w:val="both"/>
              <w:rPr>
                <w:color w:themeColor="text1" w:val="000000"/>
              </w:rPr>
            </w:pPr>
            <w:r>
              <w:rPr/>
              <w:t>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не предусмотрено строительство сетей водоснабжения и водоотведения в мкр. Новобродовский.</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spacing w:val="0"/>
                <w:sz w:val="24"/>
                <w:szCs w:val="24"/>
                <w:highlight w:val="white"/>
              </w:rPr>
              <w:t xml:space="preserve">департамента жилищно-коммунального хозяйства администрации города Перми </w:t>
            </w:r>
            <w:r>
              <w:rPr>
                <w:spacing w:val="0"/>
                <w:sz w:val="24"/>
                <w:szCs w:val="24"/>
                <w:highlight w:val="white"/>
              </w:rPr>
              <w:t>от 07.07.2025 № 059-04-17/3-595-ри).</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5"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35" w:before="0" w:afterAutospacing="0" w:after="0"/>
              <w:ind w:firstLine="311"/>
              <w:jc w:val="both"/>
              <w:rPr>
                <w:rFonts w:ascii="Times New Roman" w:hAnsi="Times New Roman"/>
                <w:color w:themeColor="text1" w:val="000000"/>
                <w:sz w:val="24"/>
                <w:szCs w:val="24"/>
              </w:rPr>
            </w:pPr>
            <w:r>
              <w:rPr>
                <w:color w:themeColor="text1" w:val="000000"/>
                <w:sz w:val="24"/>
                <w:szCs w:val="24"/>
                <w:lang w:val="en-US"/>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утвержденными введенным в действие Приказом Министерства строительстваи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w:t>
            </w:r>
            <w:r>
              <w:rPr>
                <w:color w:themeColor="text1" w:val="000000"/>
                <w:sz w:val="24"/>
                <w:szCs w:val="24"/>
              </w:rPr>
              <w:t xml:space="preserve"> </w:t>
            </w:r>
            <w:r>
              <w:rPr>
                <w:color w:themeColor="text1" w:val="000000"/>
                <w:sz w:val="24"/>
                <w:szCs w:val="24"/>
                <w:lang w:val="en-US"/>
              </w:rPr>
              <w:t xml:space="preserve">а также вспомогательные помещения: переднюю, кухню (в том числе кухню-столовую и (или) кухню-нишу), ванные комнаты и (или) душевые, туалет (уборную) </w:t>
              <w:br/>
              <w:t>или совмещенный санузел</w:t>
            </w:r>
            <w:r>
              <w:rPr>
                <w:color w:themeColor="text1" w:val="000000"/>
                <w:sz w:val="24"/>
                <w:szCs w:val="24"/>
              </w:rPr>
              <w:t>, переднюю.</w:t>
            </w:r>
          </w:p>
          <w:p>
            <w:pPr>
              <w:pStyle w:val="Normal"/>
              <w:spacing w:lineRule="auto" w:line="235" w:before="0" w:afterAutospacing="0" w:after="0"/>
              <w:ind w:firstLine="311"/>
              <w:jc w:val="both"/>
              <w:rPr>
                <w:rFonts w:ascii="Times New Roman" w:hAnsi="Times New Roman"/>
                <w:color w:themeColor="text1" w:val="000000"/>
                <w:sz w:val="24"/>
                <w:szCs w:val="24"/>
              </w:rPr>
            </w:pPr>
            <w:r>
              <w:rPr>
                <w:color w:themeColor="text1" w:val="000000"/>
                <w:sz w:val="24"/>
                <w:szCs w:val="24"/>
                <w:lang w:val="en-US"/>
              </w:rPr>
              <w:t>Согласно пункту 6.1 СП 55.13330.2016 площади помещений строящихся и реконструируемых жилых домов должны бытьне менее: общей комнаты в однокомнатном доме - 14 м</w:t>
            </w:r>
            <w:r>
              <w:rPr>
                <w:color w:themeColor="text1" w:val="000000"/>
                <w:sz w:val="24"/>
                <w:szCs w:val="24"/>
                <w:vertAlign w:val="superscript"/>
                <w:lang w:val="en-US"/>
              </w:rPr>
              <w:t>2</w:t>
            </w:r>
            <w:r>
              <w:rPr>
                <w:color w:themeColor="text1" w:val="000000"/>
                <w:sz w:val="24"/>
                <w:szCs w:val="24"/>
                <w:lang w:val="en-US"/>
              </w:rPr>
              <w:t>, общей комнаты в доме с числом комнат две и более - 16 м</w:t>
            </w:r>
            <w:r>
              <w:rPr>
                <w:color w:themeColor="text1" w:val="000000"/>
                <w:sz w:val="24"/>
                <w:szCs w:val="24"/>
                <w:vertAlign w:val="superscript"/>
                <w:lang w:val="en-US"/>
              </w:rPr>
              <w:t>2</w:t>
            </w:r>
            <w:r>
              <w:rPr>
                <w:color w:themeColor="text1" w:val="000000"/>
                <w:sz w:val="24"/>
                <w:szCs w:val="24"/>
                <w:lang w:val="en-US"/>
              </w:rPr>
              <w:t>, спальни - 8 м</w:t>
            </w:r>
            <w:r>
              <w:rPr>
                <w:color w:themeColor="text1" w:val="000000"/>
                <w:sz w:val="24"/>
                <w:szCs w:val="24"/>
                <w:vertAlign w:val="superscript"/>
                <w:lang w:val="en-US"/>
              </w:rPr>
              <w:t>2</w:t>
            </w:r>
            <w:r>
              <w:rPr>
                <w:color w:themeColor="text1" w:val="000000"/>
                <w:sz w:val="24"/>
                <w:szCs w:val="24"/>
                <w:lang w:val="en-US"/>
              </w:rPr>
              <w:t xml:space="preserve"> (на двух человек - 10 м</w:t>
            </w:r>
            <w:r>
              <w:rPr>
                <w:color w:themeColor="text1" w:val="000000"/>
                <w:sz w:val="24"/>
                <w:szCs w:val="24"/>
                <w:vertAlign w:val="superscript"/>
                <w:lang w:val="en-US"/>
              </w:rPr>
              <w:t>2</w:t>
            </w:r>
            <w:r>
              <w:rPr>
                <w:color w:themeColor="text1" w:val="000000"/>
                <w:sz w:val="24"/>
                <w:szCs w:val="24"/>
                <w:lang w:val="en-US"/>
              </w:rPr>
              <w:t>); кухни - 8 м</w:t>
            </w:r>
            <w:r>
              <w:rPr>
                <w:color w:themeColor="text1" w:val="000000"/>
                <w:sz w:val="24"/>
                <w:szCs w:val="24"/>
                <w:vertAlign w:val="superscript"/>
                <w:lang w:val="en-US"/>
              </w:rPr>
              <w:t>2</w:t>
            </w:r>
            <w:r>
              <w:rPr>
                <w:color w:themeColor="text1" w:val="000000"/>
                <w:sz w:val="24"/>
                <w:szCs w:val="24"/>
                <w:lang w:val="en-US"/>
              </w:rPr>
              <w:t xml:space="preserve">; кухонной зоны </w:t>
              <w:br/>
              <w:t>в кухне-столовой - 6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В домах с одной комнатой допускается проектировать кухни или кухни-ниши площадью не менее 5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Площадь спальни и кухни в мансардном этаже (или этаже с наклонными ограждающими конструкциями) допускается</w:t>
              <w:br/>
              <w:t>не менее 7 м</w:t>
            </w:r>
            <w:r>
              <w:rPr>
                <w:color w:themeColor="text1" w:val="000000"/>
                <w:sz w:val="24"/>
                <w:szCs w:val="24"/>
                <w:vertAlign w:val="superscript"/>
                <w:lang w:val="en-US"/>
              </w:rPr>
              <w:t>2</w:t>
            </w:r>
            <w:r>
              <w:rPr>
                <w:color w:themeColor="text1" w:val="000000"/>
                <w:sz w:val="24"/>
                <w:szCs w:val="24"/>
                <w:lang w:val="en-US"/>
              </w:rPr>
              <w:t xml:space="preserve"> при условии, что общая жилая комната имеет площадь не менее 16 м</w:t>
            </w:r>
            <w:r>
              <w:rPr>
                <w:color w:themeColor="text1" w:val="000000"/>
                <w:sz w:val="24"/>
                <w:szCs w:val="24"/>
                <w:vertAlign w:val="superscript"/>
                <w:lang w:val="en-US"/>
              </w:rPr>
              <w:t>2</w:t>
            </w:r>
            <w:r>
              <w:rPr>
                <w:color w:themeColor="text1" w:val="000000"/>
                <w:sz w:val="24"/>
                <w:szCs w:val="24"/>
                <w:lang w:val="en-US"/>
              </w:rPr>
              <w:t>.</w:t>
            </w:r>
          </w:p>
          <w:p>
            <w:pPr>
              <w:pStyle w:val="Normal"/>
              <w:spacing w:lineRule="auto" w:line="235" w:before="0" w:afterAutospacing="0" w:after="0"/>
              <w:ind w:firstLine="311"/>
              <w:jc w:val="both"/>
              <w:rPr>
                <w:rFonts w:ascii="Times New Roman" w:hAnsi="Times New Roman"/>
                <w:color w:themeColor="text1" w:val="000000"/>
                <w:sz w:val="24"/>
                <w:szCs w:val="24"/>
              </w:rPr>
            </w:pPr>
            <w:r>
              <w:rPr>
                <w:color w:themeColor="text1" w:val="000000"/>
                <w:sz w:val="24"/>
                <w:szCs w:val="24"/>
                <w:lang w:val="en-US"/>
              </w:rPr>
              <w:t xml:space="preserve">Согласно пункту 6.2 СП 55.13330.2016 высота </w:t>
              <w:br/>
              <w:t xml:space="preserve">(от пола до потолка) комнат и кухни (кухни-столовой) </w:t>
              <w:br/>
              <w:t xml:space="preserve">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w:t>
            </w:r>
            <w:r>
              <w:rPr>
                <w:color w:themeColor="text1" w:val="000000"/>
                <w:spacing w:val="-2"/>
                <w:sz w:val="24"/>
                <w:szCs w:val="24"/>
                <w:lang w:val="en-US"/>
              </w:rPr>
              <w:t>антресолей должна составлять не менее 2,1 м,</w:t>
            </w:r>
            <w:r>
              <w:rPr>
                <w:color w:themeColor="text1" w:val="000000"/>
                <w:spacing w:val="-2"/>
                <w:sz w:val="24"/>
                <w:szCs w:val="24"/>
              </w:rPr>
              <w:t xml:space="preserve"> </w:t>
            </w:r>
            <w:r>
              <w:rPr>
                <w:color w:themeColor="text1" w:val="000000"/>
                <w:spacing w:val="-2"/>
                <w:sz w:val="24"/>
                <w:szCs w:val="24"/>
                <w:lang w:val="en-US"/>
              </w:rPr>
              <w:t>а высота пути эвакуации -</w:t>
            </w:r>
            <w:r>
              <w:rPr>
                <w:color w:themeColor="text1" w:val="000000"/>
                <w:sz w:val="24"/>
                <w:szCs w:val="24"/>
                <w:lang w:val="en-US"/>
              </w:rPr>
              <w:t xml:space="preserve"> не менее</w:t>
            </w:r>
            <w:r>
              <w:rPr>
                <w:color w:themeColor="text1" w:val="000000"/>
                <w:sz w:val="24"/>
                <w:szCs w:val="24"/>
              </w:rPr>
              <w:t xml:space="preserve"> </w:t>
            </w:r>
            <w:r>
              <w:rPr>
                <w:color w:themeColor="text1" w:val="000000"/>
                <w:sz w:val="24"/>
                <w:szCs w:val="24"/>
                <w:lang w:val="en-US"/>
              </w:rPr>
              <w:t>2,2 м.</w:t>
            </w:r>
          </w:p>
          <w:p>
            <w:pPr>
              <w:pStyle w:val="Normal"/>
              <w:tabs>
                <w:tab w:val="clear" w:pos="708"/>
                <w:tab w:val="right" w:pos="6000" w:leader="none"/>
              </w:tabs>
              <w:spacing w:lineRule="auto" w:line="235" w:before="0" w:afterAutospacing="0" w:after="0"/>
              <w:ind w:firstLine="340"/>
              <w:jc w:val="both"/>
              <w:rPr>
                <w:rFonts w:ascii="Times New Roman" w:hAnsi="Times New Roman"/>
                <w:color w:themeColor="text1" w:val="000000"/>
                <w:sz w:val="24"/>
                <w:szCs w:val="24"/>
                <w14:ligatures w14:val="none"/>
              </w:rPr>
            </w:pPr>
            <w:r>
              <w:rPr>
                <w:color w:themeColor="text1" w:val="000000"/>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w:t>
            </w:r>
            <w:r>
              <w:rPr>
                <w:color w:themeColor="text1" w:val="000000"/>
                <w:sz w:val="24"/>
                <w:szCs w:val="24"/>
              </w:rPr>
              <w:t xml:space="preserve"> </w:t>
            </w:r>
            <w:r>
              <w:rPr>
                <w:color w:themeColor="text1" w:val="000000"/>
                <w:sz w:val="24"/>
                <w:szCs w:val="24"/>
                <w:lang w:val="en-US"/>
              </w:rPr>
              <w:t>до потолка), относительно нормируемой на площади, не превышающей 50%.</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highlight w:val="white"/>
              </w:rPr>
            </w:pPr>
            <w:r>
              <w:rPr>
                <w:color w:themeColor="text1" w:val="000000"/>
                <w:sz w:val="24"/>
              </w:rPr>
              <w:t xml:space="preserve">Согласно информации, содержащейся </w:t>
              <w:br/>
              <w:t xml:space="preserve">в Градостроительном плане земельного участка </w:t>
              <w:br/>
              <w:t>от 18.07.2025 № РФ-59-2-03-0-00-2025-1642-0 (далее – ГПЗУ),</w:t>
            </w:r>
            <w:r>
              <w:rPr>
                <w:color w:themeColor="text1" w:val="000000"/>
                <w:sz w:val="24"/>
                <w:highlight w:val="white"/>
              </w:rPr>
              <w:t xml:space="preserve"> документации по планировке территории, утвержденной постановлением администрации города Перми от 22.12.2017 № 1178, возможная предельная высота жилой застройки - до 10,5 метров.</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rPr>
            </w:pPr>
            <w:r>
              <w:rPr>
                <w:color w:themeColor="text1" w:val="000000"/>
                <w:sz w:val="24"/>
                <w:highlight w:val="white"/>
              </w:rPr>
              <w:t>Согласно ГПЗУ минимальный отступ от границ Уч</w:t>
            </w:r>
            <w:r>
              <w:rPr>
                <w:color w:themeColor="text1" w:val="000000"/>
                <w:sz w:val="24"/>
              </w:rPr>
              <w:t xml:space="preserve">астка до места допустимого размещения зданий, строений </w:t>
            </w:r>
            <w:r>
              <w:rPr>
                <w:color w:themeColor="text1" w:val="000000"/>
                <w:sz w:val="24"/>
                <w:szCs w:val="24"/>
              </w:rPr>
              <w:t>(за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w:t>
            </w:r>
            <w:r>
              <w:rPr>
                <w:color w:themeColor="text1" w:val="000000"/>
                <w:sz w:val="24"/>
              </w:rPr>
              <w:t xml:space="preserve"> – 3 м.</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rPr>
            </w:pPr>
            <w:r>
              <w:rPr>
                <w:color w:themeColor="text1" w:val="000000"/>
                <w:sz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35" w:before="0" w:after="0"/>
              <w:ind w:firstLine="340"/>
              <w:jc w:val="both"/>
              <w:rPr>
                <w:rFonts w:ascii="Times New Roman" w:hAnsi="Times New Roman"/>
                <w:color w:themeColor="text1" w:val="000000"/>
                <w:sz w:val="24"/>
              </w:rPr>
            </w:pPr>
            <w:r>
              <w:rPr>
                <w:color w:themeColor="text1" w:val="000000"/>
                <w:sz w:val="24"/>
              </w:rPr>
              <w:t>Максимальный процент застройки в границах Участка – 30%.</w:t>
            </w:r>
          </w:p>
          <w:p>
            <w:pPr>
              <w:pStyle w:val="Normal"/>
              <w:spacing w:lineRule="auto" w:line="235" w:before="0" w:after="0"/>
              <w:ind w:firstLine="340"/>
              <w:jc w:val="both"/>
              <w:rPr>
                <w:rFonts w:ascii="Times New Roman" w:hAnsi="Times New Roman"/>
                <w:color w:themeColor="text1" w:val="000000"/>
                <w:sz w:val="24"/>
                <w:szCs w:val="24"/>
              </w:rPr>
            </w:pPr>
            <w:r>
              <w:rPr>
                <w:rFonts w:eastAsia="Droid Sans Fallback" w:cs="Lohit Devanagari"/>
                <w:color w:themeColor="text1" w:val="000000"/>
                <w:kern w:val="0"/>
                <w:sz w:val="24"/>
                <w:szCs w:val="24"/>
                <w:shd w:fill="FFFFFF" w:val="clear"/>
                <w:lang w:val="ru-RU" w:eastAsia="zh-CN" w:bidi="ar-SA"/>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6"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 xml:space="preserve">Порядок технологического присоединения </w:t>
              <w:br/>
              <w:t>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Переченмероприятий по технологическому присоединению определяется в технических условиях.</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 xml:space="preserve">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w:t>
              <w:br/>
              <w:t>о технологическом присоединении.</w:t>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 ПОРТАЛ-ТП.РФ.</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themeColor="text1" w:val="000000"/>
                <w:spacing w:val="0"/>
                <w:sz w:val="24"/>
                <w:szCs w:val="24"/>
                <w:highlight w:val="white"/>
              </w:rPr>
              <w:t xml:space="preserve">ПАО «Россети Урал» - «Пермэнерго» Пермские </w:t>
            </w:r>
            <w:r>
              <w:rPr>
                <w:b/>
                <w:color w:themeColor="text1" w:val="000000"/>
                <w:spacing w:val="0"/>
                <w:sz w:val="24"/>
                <w:szCs w:val="24"/>
                <w:highlight w:val="white"/>
              </w:rPr>
              <w:t>городские электрические сети»</w:t>
            </w:r>
            <w:r>
              <w:rPr>
                <w:color w:themeColor="text1" w:val="000000"/>
                <w:spacing w:val="0"/>
                <w:sz w:val="24"/>
                <w:szCs w:val="24"/>
                <w:highlight w:val="white"/>
              </w:rPr>
              <w:t xml:space="preserve"> от 18.07.2025 № ПЭ/ПГЭС/01/22/8726</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317"/>
              <w:jc w:val="both"/>
              <w:rPr>
                <w:rFonts w:ascii="Times New Roman" w:hAnsi="Times New Roman"/>
                <w:color w:themeColor="text1" w:val="000000"/>
                <w:sz w:val="24"/>
                <w:szCs w:val="24"/>
              </w:rPr>
            </w:pPr>
            <w:r>
              <w:rPr>
                <w:color w:themeColor="text1" w:val="000000"/>
                <w:sz w:val="24"/>
                <w:szCs w:val="24"/>
              </w:rPr>
              <w:t>Участок расположен вне зоны теплоснабжения ПАО                  «Т Плюс».</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Для запроса информации о возможности подключения земельного участка рекомендуется обратиться 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ПАО                   «Т Плюс»</w:t>
            </w:r>
            <w:r>
              <w:rPr>
                <w:color w:themeColor="text1" w:val="000000"/>
                <w:spacing w:val="0"/>
                <w:sz w:val="24"/>
                <w:szCs w:val="24"/>
                <w:highlight w:val="white"/>
              </w:rPr>
              <w:t xml:space="preserve"> от 09.07.2025 № 51000-32-02492</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Техническая возможность подключения к сетям теплоснабжения отсутствует. Рекомендовано рассмотреть альтернативный источник теплоснабжения – газ, электричество, дрова, пеллеты.</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spacing w:val="0"/>
                <w:sz w:val="24"/>
                <w:szCs w:val="24"/>
                <w:highlight w:val="white"/>
              </w:rPr>
              <w:t>д</w:t>
            </w:r>
            <w:r>
              <w:rPr>
                <w:b/>
                <w:color w:themeColor="text1" w:val="000000"/>
                <w:spacing w:val="0"/>
                <w:sz w:val="24"/>
                <w:szCs w:val="24"/>
                <w:highlight w:val="white"/>
              </w:rPr>
              <w:t>епартамента жилищно-коммунального хозяйства администрации города Перми</w:t>
            </w:r>
            <w:r>
              <w:rPr>
                <w:color w:themeColor="text1" w:val="000000"/>
                <w:spacing w:val="0"/>
                <w:sz w:val="24"/>
                <w:szCs w:val="24"/>
                <w:highlight w:val="white"/>
              </w:rPr>
              <w:t xml:space="preserve"> от 30.07.2025 № 059-04-17/3/685-ри</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25" w:left="0" w:right="0"/>
              <w:jc w:val="both"/>
              <w:rPr>
                <w:rFonts w:ascii="Times New Roman" w:hAnsi="Times New Roman"/>
                <w:color w:themeColor="text1" w:val="000000"/>
                <w:sz w:val="24"/>
                <w:szCs w:val="24"/>
                <w:highlight w:val="none"/>
                <w14:ligatures w14:val="none"/>
              </w:rPr>
            </w:pPr>
            <w:r>
              <w:rPr>
                <w:color w:themeColor="text1" w:val="000000"/>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425" w:left="0" w:right="0"/>
              <w:jc w:val="both"/>
              <w:rPr>
                <w:rFonts w:ascii="Times New Roman" w:hAnsi="Times New Roman"/>
                <w:color w:themeColor="text1" w:val="000000"/>
                <w:sz w:val="24"/>
                <w:szCs w:val="24"/>
                <w:highlight w:val="none"/>
                <w14:ligatures w14:val="none"/>
              </w:rPr>
            </w:pPr>
            <w:r>
              <w:rPr>
                <w:color w:themeColor="text1" w:val="000000"/>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themeColor="text1" w:val="000000"/>
                <w:spacing w:val="0"/>
                <w:sz w:val="24"/>
                <w:szCs w:val="24"/>
                <w:highlight w:val="white"/>
              </w:rPr>
              <w:t>АО «Газпром газораспределение Пермь»</w:t>
            </w:r>
            <w:r>
              <w:rPr>
                <w:color w:themeColor="text1" w:val="000000"/>
                <w:spacing w:val="0"/>
                <w:sz w:val="24"/>
                <w:szCs w:val="24"/>
                <w:highlight w:val="white"/>
              </w:rPr>
              <w:t xml:space="preserve"> от 04.07.2025 № ПФ-4685</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О наличии технической возможности для подключения сетей водоснабжения и водоотведения с предполагаемой величиной нагрузки 1,0 м3/сут. сообщается,  что в районе, где расположен Участок, отсутствуют централизованные сети водоснабжения и водоотведения, эксплуатируемые ООО «Новогор-Прикамье».</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lang w:val="ru-RU" w:eastAsia="ru-RU" w:bidi="ru-RU"/>
              </w:rPr>
              <w:t xml:space="preserve"> </w:t>
            </w:r>
            <w:r>
              <w:rPr>
                <w:color w:themeColor="text1" w:val="000000"/>
                <w:sz w:val="24"/>
                <w:szCs w:val="24"/>
                <w:lang w:val="ru-RU" w:eastAsia="ru-RU" w:bidi="ru-RU"/>
              </w:rPr>
              <w:t>Ближайшей сетью водоснабжения, эксплуатируемой ООО «НОВОГОР- Прикамье», располагаются в районе здания по Бродовскому тракту, 15 ориентировочно на расстоянии - 10,00 км от выше указанного земельного участка. Ближайшие сети водоотведения, эксплуатируемой ООО «НОВОГОР- Прикамье», располагаются в районе здания по ул. Героев Хасана, 109/2 ориентировочно на расстоянии - 11,0 км от выше указанного земельного участка.</w:t>
            </w:r>
          </w:p>
          <w:p>
            <w:pPr>
              <w:pStyle w:val="Normal"/>
              <w:spacing w:lineRule="auto" w:line="240" w:before="0" w:after="0"/>
              <w:ind w:firstLine="425" w:left="0" w:right="0"/>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 xml:space="preserve">При проектировании может быть применен альтернативный способ водоснабжения без подключения к централизованной системе водоснабжения (от скважины) и альтернативный способ канализования, без подключения к централизованной системе канализации г. Перми (отвод стоков </w:t>
              <w:br/>
              <w:t>на локальные очистные сооружения, канализование объекта в выгребную яму с последующим вывозом стоков спец. машинами), который должен соответствовать всем нормативным требованиям Российской Федерации.</w:t>
            </w:r>
          </w:p>
          <w:p>
            <w:pPr>
              <w:pStyle w:val="Normal"/>
              <w:spacing w:lineRule="auto" w:line="240" w:before="0" w:after="0"/>
              <w:ind w:firstLine="425" w:left="0" w:right="0"/>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 xml:space="preserve">Кроме того, ООО «НОВОГОР-Прикамье» </w:t>
              <w:br/>
              <w:t xml:space="preserve">не располагает сведениями о наличии сетей 3-х лиц </w:t>
              <w:br/>
              <w:t>в границах Участка.</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themeColor="text1" w:val="000000"/>
                <w:spacing w:val="0"/>
                <w:sz w:val="24"/>
                <w:szCs w:val="24"/>
                <w:highlight w:val="white"/>
              </w:rPr>
              <w:t xml:space="preserve">ООО «НОВОГОР-Прикамье» </w:t>
            </w:r>
            <w:r>
              <w:rPr>
                <w:color w:themeColor="text1" w:val="000000"/>
                <w:spacing w:val="0"/>
                <w:sz w:val="24"/>
                <w:szCs w:val="24"/>
                <w:highlight w:val="white"/>
              </w:rPr>
              <w:t>от 09.07.2025 № 110-10051</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425" w:left="0" w:right="0"/>
              <w:jc w:val="both"/>
              <w:rPr/>
            </w:pPr>
            <w:r>
              <w:rPr>
                <w:b w:val="false"/>
                <w:bCs w:val="false"/>
                <w:color w:themeColor="text1" w:val="000000"/>
                <w:sz w:val="24"/>
                <w:szCs w:val="24"/>
              </w:rPr>
              <w:t>Технологическое присоединение к сетям связи ПАО «Ростелеком» может быть произведено к узлу ВОЛС(г. Пермь, ул. Патриса Лумумбы, 6),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425" w:left="0" w:right="0"/>
              <w:jc w:val="both"/>
              <w:rPr>
                <w:b w:val="false"/>
                <w:bCs w:val="false"/>
                <w:color w:themeColor="text1" w:val="000000"/>
              </w:rPr>
            </w:pPr>
            <w:r>
              <w:rPr>
                <w:b w:val="false"/>
                <w:bCs w:val="false"/>
                <w:color w:themeColor="text1" w:val="000000"/>
                <w:sz w:val="24"/>
                <w:szCs w:val="24"/>
              </w:rPr>
              <w:t>В границах Участка сетей связи ПАО «Ростелеком» и их охранных зон нет.</w:t>
            </w:r>
          </w:p>
          <w:p>
            <w:pPr>
              <w:pStyle w:val="Normal"/>
              <w:spacing w:lineRule="auto" w:line="240" w:before="0" w:after="0"/>
              <w:ind w:firstLine="452"/>
              <w:jc w:val="both"/>
              <w:rPr>
                <w:rFonts w:ascii="Times New Roman" w:hAnsi="Times New Roman"/>
                <w:b w:val="false"/>
                <w:bCs w:val="false"/>
                <w:color w:themeColor="text1" w:val="000000"/>
                <w:sz w:val="24"/>
                <w:szCs w:val="24"/>
                <w:highlight w:val="none"/>
              </w:rPr>
            </w:pPr>
            <w:r>
              <w:rPr>
                <w:b w:val="false"/>
                <w:bCs w:val="false"/>
                <w:color w:themeColor="text1" w:val="000000"/>
                <w:sz w:val="24"/>
                <w:szCs w:val="24"/>
              </w:rPr>
              <w:t xml:space="preserve">Для получения технических условий на подключение к сетям связи необходимо обратиться в Отдел продаж и обслуживания по адресу: г. Пермь, ул. Крупской, 2, тел.:(342) 235-57-34 или направить запрос на </w:t>
            </w:r>
            <w:hyperlink r:id="rId17">
              <w:r>
                <w:rPr>
                  <w:rStyle w:val="Hyperlink"/>
                  <w:b w:val="false"/>
                  <w:bCs w:val="false"/>
                  <w:color w:themeColor="text1" w:val="000000"/>
                  <w:sz w:val="24"/>
                  <w:szCs w:val="24"/>
                </w:rPr>
                <w:t>perm-mail@ural.rt.ru</w:t>
              </w:r>
            </w:hyperlink>
            <w:hyperlink r:id="rId18" w:tgtFrame="mailto:perm-mail@ural.rt.ru.">
              <w:r>
                <w:rPr>
                  <w:rStyle w:val="Hyperlink"/>
                  <w:b w:val="false"/>
                  <w:bCs w:val="false"/>
                  <w:color w:themeColor="text1" w:val="000000"/>
                  <w:sz w:val="24"/>
                  <w:szCs w:val="24"/>
                </w:rPr>
                <w:t>.</w:t>
              </w:r>
            </w:hyperlink>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themeColor="text1" w:val="000000"/>
                <w:spacing w:val="0"/>
                <w:sz w:val="24"/>
                <w:szCs w:val="24"/>
                <w:highlight w:val="white"/>
              </w:rPr>
              <w:t xml:space="preserve">ПАО «Ростелеком» </w:t>
            </w:r>
            <w:r>
              <w:rPr>
                <w:b w:val="false"/>
                <w:bCs w:val="false"/>
                <w:color w:themeColor="text1" w:val="000000"/>
                <w:spacing w:val="0"/>
                <w:sz w:val="24"/>
                <w:szCs w:val="24"/>
                <w:highlight w:val="white"/>
              </w:rPr>
              <w:t>от 09.07.2025 № 01/05/101078/25</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35" w:before="0" w:after="0"/>
              <w:ind w:firstLine="452"/>
              <w:jc w:val="both"/>
              <w:rPr>
                <w:rFonts w:ascii="Times New Roman" w:hAnsi="Times New Roman"/>
                <w:color w:themeColor="text1" w:val="000000"/>
                <w:sz w:val="24"/>
                <w:szCs w:val="24"/>
                <w:highlight w:val="none"/>
              </w:rPr>
            </w:pPr>
            <w:r>
              <w:rPr>
                <w:color w:themeColor="text1" w:val="000000"/>
                <w:sz w:val="24"/>
                <w:szCs w:val="24"/>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rPr>
              <w:t xml:space="preserve">По условиям пункта 4.3 проекта договора аренды земельного участка, приобретаемого на торгах в форме аукциона, для строительства (Приложение 4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(далее – ЗК РФ), обязан до подписания договора уплатить ежегодный размер арендной платы, указанный в п. 4.2 договора </w:t>
              <w:br/>
              <w:t xml:space="preserve">(за вычетом задатка, внесенного для участия </w:t>
              <w:br/>
              <w:t xml:space="preserve">в аукционе) </w:t>
            </w:r>
            <w:r>
              <w:rPr>
                <w:b/>
                <w:bCs/>
                <w:sz w:val="24"/>
                <w:szCs w:val="24"/>
              </w:rPr>
              <w:t xml:space="preserve">за 1 год </w:t>
            </w:r>
            <w:r>
              <w:rPr>
                <w:b w:val="false"/>
                <w:bCs w:val="false"/>
                <w:sz w:val="24"/>
                <w:szCs w:val="24"/>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w:t>
            </w:r>
            <w:r>
              <w:rPr>
                <w:b w:val="false"/>
                <w:bCs w:val="false"/>
                <w:sz w:val="24"/>
                <w:szCs w:val="24"/>
                <w:shd w:fill="auto" w:val="clear"/>
              </w:rPr>
              <w:t>реквизиты которого указаны в проекте договора аренды земельного участка (Приложение 4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auto"/>
                <w:kern w:val="0"/>
                <w:sz w:val="24"/>
                <w:szCs w:val="24"/>
                <w:lang w:val="ru-RU" w:eastAsia="ru-RU" w:bidi="ar-SA"/>
              </w:rPr>
              <w:t>517 800</w:t>
            </w:r>
            <w:r>
              <w:rPr>
                <w:sz w:val="24"/>
                <w:szCs w:val="24"/>
              </w:rPr>
              <w:t xml:space="preserve">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0"/>
              </w:rPr>
              <w:t>25 890</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b/>
                <w:bCs/>
                <w:color w:val="000000"/>
                <w:sz w:val="24"/>
                <w:szCs w:val="24"/>
                <w:shd w:fill="auto" w:val="clear"/>
                <w14:ligatures w14:val="none"/>
              </w:rPr>
            </w:pPr>
            <w:r>
              <w:rPr>
                <w:b/>
                <w:bCs/>
                <w:color w:val="000000"/>
                <w:sz w:val="24"/>
                <w:szCs w:val="24"/>
                <w:shd w:fill="auto" w:val="clear"/>
              </w:rPr>
              <w:t>Решение о проведении аукциона принято в соответствии со статьей 39.11 Земельного кодекса Российской Федерации, аукцион является открытым по составу участников.</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0"/>
              </w:rPr>
              <w:t>258 900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4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rFonts w:eastAsia="Courier New"/>
          <w:b/>
          <w:bCs/>
          <w:highlight w:val="none"/>
          <w:lang w:bidi="ru-RU"/>
        </w:rPr>
      </w:pPr>
      <w:r>
        <w:rPr>
          <w:rFonts w:eastAsia="Courier New"/>
          <w:b/>
          <w:bCs/>
          <w:lang w:val="en-US" w:bidi="ru-RU"/>
        </w:rPr>
        <w:t>Лот № 5</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Droid Sans Fallback" w:cs="Lohit Devanagari"/>
                <w:color w:val="auto"/>
                <w:sz w:val="24"/>
                <w:szCs w:val="28"/>
                <w:lang w:val="ru-RU" w:eastAsia="zh-CN" w:bidi="ar-SA"/>
              </w:rPr>
              <w:t>от 22 сентября 2025 г. № 21-01-03-7441 «О проведении аукциона на право заключения договора аренды земельного участка в Дзержинском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улица Новоколхозная, з/у 23б</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648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59:01:4510451:220</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 (2.1)</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 xml:space="preserve">в выписке из Единого государственного реестра недвижимости об объекте недвижимости  </w:t>
            </w:r>
            <w:r>
              <w:rPr>
                <w:sz w:val="24"/>
                <w:szCs w:val="24"/>
                <w:highlight w:val="white"/>
              </w:rPr>
              <w:t>10.10.2025г. No КУВИ-001/2025-189117743</w:t>
            </w:r>
            <w:r>
              <w:rPr>
                <w:sz w:val="24"/>
                <w:szCs w:val="24"/>
              </w:rPr>
              <w:t xml:space="preserve"> (далее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02.03.2023 № РФ-59-2-03-0-00-2023-0280 (далее – ГПЗУ).</w:t>
            </w:r>
          </w:p>
          <w:p>
            <w:pPr>
              <w:pStyle w:val="Normal"/>
              <w:jc w:val="both"/>
              <w:rPr>
                <w:sz w:val="24"/>
                <w:szCs w:val="24"/>
              </w:rPr>
            </w:pPr>
            <w:r>
              <w:rPr>
                <w:sz w:val="24"/>
                <w:szCs w:val="24"/>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Участок частично огорожен забором из дерева и листов профнастила, доступ свободный, на территории зафиксирована дикорастущая поросль, бытовой мусор, деревянные поддоны.</w:t>
            </w:r>
          </w:p>
          <w:p>
            <w:pPr>
              <w:pStyle w:val="Normal"/>
              <w:spacing w:lineRule="auto" w:line="240" w:before="0" w:after="0"/>
              <w:ind w:firstLine="283" w:left="0" w:right="0"/>
              <w:jc w:val="both"/>
              <w:rPr>
                <w:color w:val="auto"/>
              </w:rPr>
            </w:pPr>
            <w:r>
              <w:rPr>
                <w:color w:val="auto"/>
                <w:sz w:val="24"/>
                <w:szCs w:val="24"/>
              </w:rPr>
              <w:t>Схема источников противопожарного водоснабжения прилагается в документации к участку.</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val="auto"/>
                <w:spacing w:val="0"/>
                <w:sz w:val="24"/>
                <w:szCs w:val="24"/>
                <w:highlight w:val="white"/>
              </w:rPr>
              <w:t>администрации Дзержинского района города Перми</w:t>
            </w:r>
            <w:r>
              <w:rPr>
                <w:color w:val="auto"/>
                <w:spacing w:val="0"/>
                <w:sz w:val="24"/>
                <w:szCs w:val="24"/>
                <w:highlight w:val="white"/>
              </w:rPr>
              <w:t xml:space="preserve"> от 17.09.2025 № 059-07-01-03/3-2848 и в акте обследования от 15.09.2025 № 73</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В соответствии со сведениями ЕГРН капитальные/некапитальные строения отсутствуют.</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В соответствии с </w:t>
            </w:r>
            <w:r>
              <w:rPr>
                <w:color w:val="auto"/>
                <w:sz w:val="24"/>
                <w:szCs w:val="24"/>
                <w:highlight w:val="white"/>
              </w:rPr>
              <w:t xml:space="preserve">копией планшета 1:500 (требуется корректура) в границах участка расположено ограждение – деревянный забор. </w:t>
            </w:r>
            <w:r>
              <w:rPr>
                <w:color w:val="auto"/>
                <w:sz w:val="24"/>
                <w:szCs w:val="24"/>
              </w:rPr>
              <w:t>С западной стороны на Участке частично расположены некапитальные строения.</w:t>
            </w:r>
          </w:p>
          <w:p>
            <w:pPr>
              <w:pStyle w:val="Normal"/>
              <w:spacing w:lineRule="auto" w:line="240" w:before="0" w:after="0"/>
              <w:ind w:firstLine="283" w:left="0" w:right="0"/>
              <w:jc w:val="both"/>
              <w:rPr>
                <w:rFonts w:ascii="Times New Roman" w:hAnsi="Times New Roman"/>
                <w:b w:val="false"/>
                <w:bCs w:val="false"/>
                <w:color w:val="auto"/>
                <w:sz w:val="24"/>
                <w:szCs w:val="24"/>
              </w:rPr>
            </w:pPr>
            <w:r>
              <w:rPr>
                <w:b w:val="false"/>
                <w:bCs w:val="false"/>
                <w:color w:val="auto"/>
                <w:sz w:val="24"/>
                <w:szCs w:val="24"/>
              </w:rPr>
            </w:r>
          </w:p>
          <w:p>
            <w:pPr>
              <w:pStyle w:val="Normal"/>
              <w:spacing w:lineRule="auto" w:line="240" w:before="0" w:after="0"/>
              <w:ind w:firstLine="283" w:left="0" w:right="0"/>
              <w:jc w:val="both"/>
              <w:rPr>
                <w:rFonts w:ascii="Times New Roman" w:hAnsi="Times New Roman"/>
                <w:color w:val="auto"/>
                <w:sz w:val="24"/>
                <w:szCs w:val="24"/>
                <w:highlight w:val="none"/>
              </w:rPr>
            </w:pPr>
            <w:r>
              <w:rPr>
                <w:b w:val="false"/>
                <w:bCs w:val="false"/>
                <w:color w:val="auto"/>
                <w:sz w:val="24"/>
                <w:szCs w:val="24"/>
              </w:rPr>
              <w:t xml:space="preserve">Согласно сведениям, содержащимся ЕГРН, ГПЗУ </w:t>
              <w:br/>
              <w:t xml:space="preserve">и градостроительной справке от 10.10.2025 № 649830 </w:t>
            </w:r>
            <w:r>
              <w:rPr>
                <w:color w:val="auto"/>
                <w:sz w:val="24"/>
                <w:szCs w:val="24"/>
              </w:rPr>
              <w:t>Участок расположен в границах зон с особыми условиями использования территории: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частично, охранная зона инженерных сетей (тепловой трассы лит. 1, инв. № 57:401:002:000086830), площадью 22 кв.м, реестровый номер 59:01-6.4642;</w:t>
            </w:r>
          </w:p>
          <w:p>
            <w:pPr>
              <w:pStyle w:val="Normal"/>
              <w:spacing w:lineRule="auto" w:line="240" w:before="0" w:after="0"/>
              <w:ind w:firstLine="283" w:left="0" w:right="0"/>
              <w:jc w:val="both"/>
              <w:rPr>
                <w:rFonts w:ascii="Times New Roman" w:hAnsi="Times New Roman"/>
                <w:b w:val="false"/>
                <w:bCs w:val="false"/>
                <w:color w:val="auto"/>
                <w:sz w:val="24"/>
                <w:szCs w:val="24"/>
                <w:highlight w:val="none"/>
              </w:rPr>
            </w:pPr>
            <w:r>
              <w:rPr>
                <w:b w:val="false"/>
                <w:bCs w:val="false"/>
                <w:color w:val="auto"/>
                <w:sz w:val="24"/>
                <w:szCs w:val="24"/>
              </w:rPr>
              <w:t>зона затопления территории, прилегающих 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паводков расчетной обеспеченности 1%», реестровый номер 59:00-6.2017;</w:t>
            </w:r>
          </w:p>
          <w:p>
            <w:pPr>
              <w:pStyle w:val="Normal"/>
              <w:spacing w:lineRule="auto" w:line="240" w:before="0" w:after="0"/>
              <w:ind w:firstLine="283" w:left="0" w:right="0"/>
              <w:jc w:val="both"/>
              <w:rPr>
                <w:rFonts w:ascii="Times New Roman" w:hAnsi="Times New Roman"/>
                <w:b w:val="false"/>
                <w:bCs w:val="false"/>
                <w:color w:val="auto"/>
                <w:sz w:val="24"/>
                <w:szCs w:val="24"/>
                <w:highlight w:val="none"/>
              </w:rPr>
            </w:pPr>
            <w:r>
              <w:rPr>
                <w:b w:val="false"/>
                <w:bCs w:val="false"/>
                <w:color w:val="auto"/>
                <w:sz w:val="24"/>
                <w:szCs w:val="24"/>
              </w:rPr>
              <w:t>зона катастрофического затопления Воткинского водохранилища (максимальный уровень затопления - 99.08 мБс);</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b w:val="false"/>
                <w:bCs w:val="false"/>
                <w:color w:val="auto"/>
                <w:sz w:val="24"/>
                <w:szCs w:val="24"/>
              </w:rPr>
              <w:t>приаэродромная территория аэродрома аэропорта Большое Савино, реестровый номер 59:32-6.55</w:t>
            </w:r>
            <w:r>
              <w:rPr>
                <w:color w:val="auto"/>
                <w:sz w:val="24"/>
                <w:szCs w:val="24"/>
                <w:highlight w:val="white"/>
              </w:rPr>
              <w:t>3;</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Проектирование и строительство вести в соответствии: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 xml:space="preserve">с Приказом Министерства архитектуры, строительства </w:t>
              <w:br/>
              <w:t>и жилищно-коммунального хозяйства Российской Федерации от 17.08.1992 № 197 «О типовых правилах охраны коммунальных тепловых сетей»;</w:t>
            </w:r>
          </w:p>
          <w:p>
            <w:pPr>
              <w:pStyle w:val="Normal"/>
              <w:spacing w:lineRule="auto" w:line="240" w:before="0" w:after="0"/>
              <w:ind w:firstLine="283" w:left="0" w:right="0"/>
              <w:jc w:val="both"/>
              <w:rPr>
                <w:rFonts w:ascii="Times New Roman" w:hAnsi="Times New Roman"/>
                <w:b w:val="false"/>
                <w:bCs w:val="false"/>
                <w:color w:val="auto"/>
                <w:sz w:val="24"/>
                <w:szCs w:val="24"/>
                <w:highlight w:val="none"/>
              </w:rPr>
            </w:pPr>
            <w:r>
              <w:rPr>
                <w:color w:val="auto"/>
                <w:sz w:val="24"/>
                <w:szCs w:val="24"/>
                <w:highlight w:val="white"/>
              </w:rPr>
              <w:t xml:space="preserve">с </w:t>
            </w:r>
            <w:r>
              <w:rPr>
                <w:color w:val="auto"/>
                <w:sz w:val="24"/>
                <w:szCs w:val="24"/>
              </w:rPr>
              <w:t xml:space="preserve">Приказом Камского бассейного водного управления Федерального агентства водных ресурсов от 21.11.2022 № 239 «Об установлении границ зон затопления на территориях, прилегающих 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паводком расчетной обеспеченности 1%, ограничения использования объектов недвижимости в соответствии с частью 3 статьи 67.1 Водного кодекса Российской Федерации). </w:t>
            </w:r>
            <w:r>
              <w:rPr>
                <w:b w:val="false"/>
                <w:bCs w:val="false"/>
                <w:color w:val="auto"/>
                <w:sz w:val="24"/>
                <w:szCs w:val="24"/>
              </w:rPr>
              <w:t>Необходимо соблюдать ограничения, установленные ст. 67.1 п.6 Водного кодекса Российской Федерации от 03.06.2026 г № 74-ФЗ.</w:t>
            </w:r>
          </w:p>
          <w:p>
            <w:pPr>
              <w:pStyle w:val="Normal"/>
              <w:spacing w:lineRule="auto" w:line="240" w:before="0" w:after="0"/>
              <w:ind w:firstLine="283" w:left="0" w:right="0"/>
              <w:jc w:val="both"/>
              <w:rPr>
                <w:rFonts w:ascii="Times New Roman" w:hAnsi="Times New Roman"/>
                <w:b w:val="false"/>
                <w:bCs w:val="false"/>
                <w:color w:val="auto"/>
                <w:sz w:val="24"/>
                <w:szCs w:val="24"/>
                <w:highlight w:val="none"/>
              </w:rPr>
            </w:pPr>
            <w:r>
              <w:rPr>
                <w:b w:val="false"/>
                <w:bCs w:val="false"/>
                <w:color w:val="auto"/>
                <w:sz w:val="24"/>
                <w:szCs w:val="24"/>
              </w:rPr>
              <w:t xml:space="preserve">с Распоряжением Правительства Пермского края </w:t>
              <w:br/>
              <w:t>от 09.11.2007 № 156-рп «Об использовании материалов катастрофического затопления»;</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r>
              <w:rPr>
                <w:color w:val="auto"/>
                <w:sz w:val="24"/>
                <w:szCs w:val="24"/>
              </w:rPr>
              <w:t>.</w:t>
            </w:r>
          </w:p>
          <w:p>
            <w:pPr>
              <w:pStyle w:val="Normal"/>
              <w:spacing w:lineRule="auto" w:line="240" w:before="0" w:after="0"/>
              <w:ind w:firstLine="283" w:left="0" w:right="0"/>
              <w:jc w:val="both"/>
              <w:rPr>
                <w:color w:val="auto"/>
              </w:rPr>
            </w:pPr>
            <w:r>
              <w:rPr>
                <w:color w:val="auto"/>
              </w:rPr>
            </w:r>
          </w:p>
          <w:p>
            <w:pPr>
              <w:pStyle w:val="Normal"/>
              <w:spacing w:lineRule="auto" w:line="240" w:before="0" w:after="0"/>
              <w:ind w:firstLine="283" w:left="0" w:right="0"/>
              <w:jc w:val="both"/>
              <w:rPr>
                <w:color w:val="auto"/>
              </w:rPr>
            </w:pPr>
            <w:r>
              <w:rPr>
                <w:color w:val="auto"/>
                <w:sz w:val="24"/>
                <w:szCs w:val="24"/>
              </w:rPr>
              <w:t>На Участке произрастает 3 дерева: береза 2 шт., ива 1 шт. и поросль лиственная 5 кв.м.</w:t>
            </w:r>
          </w:p>
          <w:p>
            <w:pPr>
              <w:pStyle w:val="Normal"/>
              <w:spacing w:lineRule="auto" w:line="240" w:before="0" w:after="0"/>
              <w:ind w:firstLine="283" w:left="0" w:right="0"/>
              <w:jc w:val="both"/>
              <w:rPr>
                <w:rFonts w:ascii="Times New Roman" w:hAnsi="Times New Roman" w:eastAsia="Times New Roman" w:cs="Times New Roman"/>
                <w:color w:val="auto"/>
                <w:spacing w:val="0"/>
                <w:sz w:val="24"/>
                <w:szCs w:val="24"/>
                <w:highlight w:val="none"/>
                <w14:ligatures w14:val="none"/>
              </w:rPr>
            </w:pPr>
            <w:r>
              <w:rPr>
                <w:rFonts w:eastAsia="Times New Roman" w:cs="Times New Roman"/>
                <w:color w:val="auto"/>
                <w:spacing w:val="0"/>
                <w:sz w:val="24"/>
              </w:rPr>
              <w:t xml:space="preserve">Победителю аукциона необходимо соблюдать условия строительства, перечисленные в </w:t>
            </w:r>
            <w:r>
              <w:rPr>
                <w:rFonts w:eastAsia="Times New Roman" w:cs="Times New Roman"/>
                <w:color w:val="auto"/>
                <w:spacing w:val="0"/>
                <w:sz w:val="24"/>
                <w:szCs w:val="24"/>
              </w:rPr>
              <w:t>перечне мероприятий по охране окружающей среды от 06.02.2023 № 34 (прилагается).</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val="auto"/>
                <w:spacing w:val="0"/>
                <w:sz w:val="24"/>
                <w:szCs w:val="24"/>
                <w:highlight w:val="white"/>
              </w:rPr>
              <w:t>у</w:t>
            </w:r>
            <w:r>
              <w:rPr>
                <w:b/>
                <w:color w:val="auto"/>
                <w:spacing w:val="0"/>
                <w:sz w:val="24"/>
                <w:szCs w:val="24"/>
                <w:highlight w:val="white"/>
              </w:rPr>
              <w:t>правления по экологии и природопользованию администрации города Перми</w:t>
            </w:r>
            <w:r>
              <w:rPr>
                <w:color w:val="auto"/>
                <w:spacing w:val="0"/>
                <w:sz w:val="24"/>
                <w:szCs w:val="24"/>
                <w:highlight w:val="white"/>
              </w:rPr>
              <w:t xml:space="preserve"> от 07.02.2023 № 059-33-01-10/3-88</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Предоставление земельного участка возможно при следующих условиях:</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1. поверхностный водоотвод решить проектом без подтопления смежных территорий, в соответствии с действующими нормативно-правовыми актами и природоохранным законодательством;</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2. предусмотреть электроосвещение территории объекта;</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3. стоянку для временного хранения транспорта разместить в границах отведенного под строительство земельного участка вне территории общего пользования;</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4. предусмотреть ликвидацию разрушений, а также повреждений существующего дорожного покрытия;</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5. предусмотреть наружное освещение подъезда </w:t>
              <w:br/>
              <w:t>до границ земельного участка, отведенного под застройку;</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6. разработать и согласовать на рабочей группе по организации и безопасности дорожного движения (ул. Пермская, 2а, 212-47-51) проект организации дорожного движения;</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7. получить согласие на присоединение к улично-дорожной сети города Перми в соответствии с постановлением администрации города Перми от 31.01.2022 № 45.</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Мероприятия по проектированию, строительству, реконструкции и капитальному ремонту улично-дорожной сети в границах указанного участка бюджетом города Перми на 2023 год не запланированы.</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В соответствии с Федеральным законом № 257 от 08.11.2007,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val="auto"/>
                <w:spacing w:val="0"/>
                <w:sz w:val="24"/>
                <w:szCs w:val="24"/>
                <w:highlight w:val="white"/>
              </w:rPr>
              <w:t xml:space="preserve">департамента дорог и благоустройства администрации города Перми </w:t>
            </w:r>
            <w:r>
              <w:rPr>
                <w:color w:val="auto"/>
                <w:spacing w:val="0"/>
                <w:sz w:val="24"/>
                <w:szCs w:val="24"/>
                <w:highlight w:val="white"/>
              </w:rPr>
              <w:t>от 07.02.2023 № 059-24-01-36/3-340</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Источники противопожарного водоснабжения (пожарные гидранты на сети водоснабжения и пожарные водоемы) на указанной территории отсутствуют.</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При планировке 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 </w:t>
              <w:br/>
              <w:t>от 30.03.2020 № 225, Свода правил 4.13130 «Системы противопожарной защиты. Ограничение распространения пожара на объектах защиты. Требования к объемно- 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Информация о подразделениях пожарной охраны </w:t>
              <w:br/>
              <w:t>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Подразделение пожарной охраны расположено по адресу: ул. Василия Каменского, 2 (ПСЧ - 4 10- ПСО).</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Помещения для аварийно-спасательных служб и (или) аварийно- спасательных формирований на указанной территории отсутствуют.</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Объект общественной безопасности, отнесенный к объектам полиции (участковые пункты полиции), в данном микрорайоне расположен по адресу: г. Пермь, ул. Новоколхозная, 2 (микрорайон Заостровка, Дзержинский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По информации, предоставленной Министерством территориальной безопасности Пермского края (письмо </w:t>
              <w:br/>
              <w:t>от 07.10.2020 № 964с), рассматриваемый земельный участок попадает в зону возможного химического заражения в особый период.</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val="auto"/>
                <w:spacing w:val="0"/>
                <w:sz w:val="24"/>
                <w:szCs w:val="24"/>
                <w:highlight w:val="white"/>
              </w:rPr>
              <w:t>департамента общественной безопасности администрации города Перми</w:t>
            </w:r>
            <w:r>
              <w:rPr>
                <w:color w:val="auto"/>
                <w:spacing w:val="0"/>
                <w:sz w:val="24"/>
                <w:szCs w:val="24"/>
                <w:highlight w:val="white"/>
              </w:rPr>
              <w:t xml:space="preserve"> от 27.08.2025 № 059-10-01-27/3-18</w:t>
            </w:r>
            <w:r>
              <w:rPr>
                <w:color w:val="auto"/>
                <w:spacing w:val="0"/>
                <w:sz w:val="24"/>
                <w:szCs w:val="24"/>
                <w:highlight w:val="white"/>
                <w14:ligatures w14:val="none"/>
              </w:rPr>
              <w:t>52</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283" w:left="0" w:right="0"/>
              <w:jc w:val="both"/>
              <w:rPr>
                <w:color w:val="auto"/>
              </w:rPr>
            </w:pPr>
            <w:r>
              <w:rPr>
                <w:color w:val="auto"/>
              </w:rPr>
              <w:t xml:space="preserve">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w:t>
            </w:r>
            <w:r>
              <w:rPr>
                <w:b/>
                <w:bCs/>
              </w:rPr>
              <w:t xml:space="preserve">предусмотрено </w:t>
            </w:r>
            <w:r>
              <w:rPr>
                <w:color w:val="auto"/>
              </w:rPr>
              <w:t>строительство сетей водоснабжения в мкр. Заостровка с 2024 года (данные мероприятия не обеспечены финансированием).</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spacing w:val="0"/>
                <w:sz w:val="24"/>
                <w:szCs w:val="24"/>
                <w:highlight w:val="white"/>
              </w:rPr>
              <w:t>департамента жилищно-коммунального хозяйства администрации города Перми</w:t>
            </w:r>
            <w:r>
              <w:rPr>
                <w:spacing w:val="0"/>
                <w:sz w:val="24"/>
                <w:szCs w:val="24"/>
                <w:highlight w:val="white"/>
              </w:rPr>
              <w:t xml:space="preserve"> </w:t>
            </w:r>
            <w:r>
              <w:rPr>
                <w:color w:val="auto"/>
                <w:spacing w:val="0"/>
                <w:sz w:val="24"/>
                <w:szCs w:val="24"/>
                <w:highlight w:val="white"/>
              </w:rPr>
              <w:t>от 09.02.2023 № 059-04-17/3-73-ри</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9"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w:t>
            </w:r>
            <w:r>
              <w:rPr>
                <w:color w:val="auto"/>
                <w:sz w:val="24"/>
                <w:szCs w:val="24"/>
              </w:rPr>
              <w:t xml:space="preserve"> </w:t>
              <w:br/>
            </w:r>
            <w:r>
              <w:rPr>
                <w:color w:val="auto"/>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color w:val="auto"/>
                <w:sz w:val="24"/>
                <w:szCs w:val="24"/>
              </w:rPr>
              <w:t>, переднюю.</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val="auto"/>
                <w:sz w:val="24"/>
                <w:szCs w:val="24"/>
                <w:vertAlign w:val="superscript"/>
                <w:lang w:val="en-US"/>
              </w:rPr>
              <w:t>2</w:t>
            </w:r>
            <w:r>
              <w:rPr>
                <w:color w:val="auto"/>
                <w:sz w:val="24"/>
                <w:szCs w:val="24"/>
                <w:lang w:val="en-US"/>
              </w:rPr>
              <w:t>, общей комнаты в доме с числом комнат две и более - 16 м</w:t>
            </w:r>
            <w:r>
              <w:rPr>
                <w:color w:val="auto"/>
                <w:sz w:val="24"/>
                <w:szCs w:val="24"/>
                <w:vertAlign w:val="superscript"/>
                <w:lang w:val="en-US"/>
              </w:rPr>
              <w:t>2</w:t>
            </w:r>
            <w:r>
              <w:rPr>
                <w:color w:val="auto"/>
                <w:sz w:val="24"/>
                <w:szCs w:val="24"/>
                <w:lang w:val="en-US"/>
              </w:rPr>
              <w:t>, спальни - 8 м</w:t>
            </w:r>
            <w:r>
              <w:rPr>
                <w:color w:val="auto"/>
                <w:sz w:val="24"/>
                <w:szCs w:val="24"/>
                <w:vertAlign w:val="superscript"/>
                <w:lang w:val="en-US"/>
              </w:rPr>
              <w:t>2</w:t>
            </w:r>
            <w:r>
              <w:rPr>
                <w:color w:val="auto"/>
                <w:sz w:val="24"/>
                <w:szCs w:val="24"/>
                <w:lang w:val="en-US"/>
              </w:rPr>
              <w:t xml:space="preserve"> (на двух человек - 10 м</w:t>
            </w:r>
            <w:r>
              <w:rPr>
                <w:color w:val="auto"/>
                <w:sz w:val="24"/>
                <w:szCs w:val="24"/>
                <w:vertAlign w:val="superscript"/>
                <w:lang w:val="en-US"/>
              </w:rPr>
              <w:t>2</w:t>
            </w:r>
            <w:r>
              <w:rPr>
                <w:color w:val="auto"/>
                <w:sz w:val="24"/>
                <w:szCs w:val="24"/>
                <w:lang w:val="en-US"/>
              </w:rPr>
              <w:t>); кухни - 8 м</w:t>
            </w:r>
            <w:r>
              <w:rPr>
                <w:color w:val="auto"/>
                <w:sz w:val="24"/>
                <w:szCs w:val="24"/>
                <w:vertAlign w:val="superscript"/>
                <w:lang w:val="en-US"/>
              </w:rPr>
              <w:t>2</w:t>
            </w:r>
            <w:r>
              <w:rPr>
                <w:color w:val="auto"/>
                <w:sz w:val="24"/>
                <w:szCs w:val="24"/>
                <w:lang w:val="en-US"/>
              </w:rPr>
              <w:t xml:space="preserve">; кухонной зоны </w:t>
              <w:br/>
              <w:t>в кухне-столовой - 6 м</w:t>
            </w:r>
            <w:r>
              <w:rPr>
                <w:color w:val="auto"/>
                <w:sz w:val="24"/>
                <w:szCs w:val="24"/>
                <w:vertAlign w:val="superscript"/>
                <w:lang w:val="en-US"/>
              </w:rPr>
              <w:t>2</w:t>
            </w:r>
            <w:r>
              <w:rPr>
                <w:color w:val="auto"/>
                <w:sz w:val="24"/>
                <w:szCs w:val="24"/>
                <w:lang w:val="en-US"/>
              </w:rPr>
              <w:t>.</w:t>
            </w:r>
            <w:r>
              <w:rPr>
                <w:color w:val="auto"/>
                <w:sz w:val="24"/>
                <w:szCs w:val="24"/>
              </w:rPr>
              <w:t xml:space="preserve"> </w:t>
            </w:r>
            <w:r>
              <w:rPr>
                <w:color w:val="auto"/>
                <w:sz w:val="24"/>
                <w:szCs w:val="24"/>
                <w:lang w:val="en-US"/>
              </w:rPr>
              <w:t>В домах с одной комнатой допускается проектировать кухни или кухни-ниши площадью не менее 5 м</w:t>
            </w:r>
            <w:r>
              <w:rPr>
                <w:color w:val="auto"/>
                <w:sz w:val="24"/>
                <w:szCs w:val="24"/>
                <w:vertAlign w:val="superscript"/>
                <w:lang w:val="en-US"/>
              </w:rPr>
              <w:t>2</w:t>
            </w:r>
            <w:r>
              <w:rPr>
                <w:color w:val="auto"/>
                <w:sz w:val="24"/>
                <w:szCs w:val="24"/>
                <w:lang w:val="en-US"/>
              </w:rPr>
              <w:t>.</w:t>
            </w:r>
            <w:r>
              <w:rPr>
                <w:color w:val="auto"/>
                <w:sz w:val="24"/>
                <w:szCs w:val="24"/>
              </w:rPr>
              <w:t xml:space="preserve"> </w:t>
            </w:r>
            <w:r>
              <w:rPr>
                <w:color w:val="auto"/>
                <w:sz w:val="24"/>
                <w:szCs w:val="24"/>
                <w:lang w:val="en-US"/>
              </w:rPr>
              <w:t>Площадь спальни и кухни в мансардном этаже (или этаже с наклонными ограждающими конструкциями) допускаетсят не менее 7 м</w:t>
            </w:r>
            <w:r>
              <w:rPr>
                <w:color w:val="auto"/>
                <w:sz w:val="24"/>
                <w:szCs w:val="24"/>
                <w:vertAlign w:val="superscript"/>
                <w:lang w:val="en-US"/>
              </w:rPr>
              <w:t>2</w:t>
            </w:r>
            <w:r>
              <w:rPr>
                <w:color w:val="auto"/>
                <w:sz w:val="24"/>
                <w:szCs w:val="24"/>
                <w:lang w:val="en-US"/>
              </w:rPr>
              <w:t xml:space="preserve"> при условии, что общая жилая комната имеет площадь не менее 16 м</w:t>
            </w:r>
            <w:r>
              <w:rPr>
                <w:color w:val="auto"/>
                <w:sz w:val="24"/>
                <w:szCs w:val="24"/>
                <w:vertAlign w:val="superscript"/>
                <w:lang w:val="en-US"/>
              </w:rPr>
              <w:t>2</w:t>
            </w:r>
            <w:r>
              <w:rPr>
                <w:color w:val="auto"/>
                <w:sz w:val="24"/>
                <w:szCs w:val="24"/>
                <w:lang w:val="en-US"/>
              </w:rPr>
              <w:t>.</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 xml:space="preserve">Согласно пункту 6.2 СП 55.13330.2016 высота (от пола </w:t>
              <w:br/>
              <w:t xml:space="preserve">до потолка) комнат и кухни (кухни-столовой) </w:t>
              <w:br/>
              <w:t xml:space="preserve">в климатических районах строительства IА, IБ, IГ, IД, определяемых по СП 131.13330, должна быть не менее </w:t>
              <w:br/>
              <w:t xml:space="preserve">2,7 м, а в других климатических районах строительства - не менее 2,5 м. Высота внутридомовых коридоров, холлов, передних, </w:t>
            </w:r>
            <w:r>
              <w:rPr>
                <w:color w:val="auto"/>
                <w:spacing w:val="-2"/>
                <w:sz w:val="24"/>
                <w:szCs w:val="24"/>
                <w:lang w:val="en-US"/>
              </w:rPr>
              <w:t>антресолей должна составлять не менее 2,1 м,</w:t>
            </w:r>
            <w:r>
              <w:rPr>
                <w:color w:val="auto"/>
                <w:spacing w:val="-2"/>
                <w:sz w:val="24"/>
                <w:szCs w:val="24"/>
              </w:rPr>
              <w:t xml:space="preserve"> </w:t>
            </w:r>
            <w:r>
              <w:rPr>
                <w:color w:val="auto"/>
                <w:spacing w:val="-2"/>
                <w:sz w:val="24"/>
                <w:szCs w:val="24"/>
                <w:lang w:val="en-US"/>
              </w:rPr>
              <w:t>а высота пути эвакуации -</w:t>
            </w:r>
            <w:r>
              <w:rPr>
                <w:color w:val="auto"/>
                <w:sz w:val="24"/>
                <w:szCs w:val="24"/>
                <w:lang w:val="en-US"/>
              </w:rPr>
              <w:t xml:space="preserve"> не менее</w:t>
            </w:r>
            <w:r>
              <w:rPr>
                <w:color w:val="auto"/>
                <w:sz w:val="24"/>
                <w:szCs w:val="24"/>
              </w:rPr>
              <w:t xml:space="preserve"> </w:t>
            </w:r>
            <w:r>
              <w:rPr>
                <w:color w:val="auto"/>
                <w:sz w:val="24"/>
                <w:szCs w:val="24"/>
                <w:lang w:val="en-US"/>
              </w:rPr>
              <w:t>2,2 м.</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 xml:space="preserve">В жилых комнатах и кухнях, расположенных в этажах </w:t>
            </w:r>
            <w:r>
              <w:rPr>
                <w:color w:val="auto"/>
                <w:sz w:val="24"/>
                <w:szCs w:val="24"/>
              </w:rPr>
              <w:br/>
            </w:r>
            <w:r>
              <w:rPr>
                <w:color w:val="auto"/>
                <w:sz w:val="24"/>
                <w:szCs w:val="24"/>
                <w:lang w:val="en-US"/>
              </w:rPr>
              <w:t xml:space="preserve">с наклонными ограждающими конструкциями или </w:t>
              <w:br/>
              <w:t>в мансардном этаже, допускается уменьшение высоты помещений (от пола</w:t>
            </w:r>
            <w:r>
              <w:rPr>
                <w:color w:val="auto"/>
                <w:sz w:val="24"/>
                <w:szCs w:val="24"/>
              </w:rPr>
              <w:t xml:space="preserve"> </w:t>
            </w:r>
            <w:r>
              <w:rPr>
                <w:color w:val="auto"/>
                <w:sz w:val="24"/>
                <w:szCs w:val="24"/>
                <w:lang w:val="en-US"/>
              </w:rPr>
              <w:t>до потолка), относительно нормируемой на площади, не превышающей 50%.</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Согласно градостроительному плану земельного участка от 02.03.2023 № РФ-59-2-03-0-00-2023-0280 (далее – ГПЗУ):</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 xml:space="preserve">минимальный отступ от границ Участка до места допустимого размещения зданий, строений </w:t>
              <w:br/>
              <w:t>(за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283" w:left="0" w:right="0"/>
              <w:jc w:val="both"/>
              <w:rPr>
                <w:rFonts w:ascii="Times New Roman" w:hAnsi="Times New Roman"/>
                <w:color w:val="auto"/>
                <w:sz w:val="24"/>
                <w:highlight w:val="white"/>
              </w:rPr>
            </w:pPr>
            <w:r>
              <w:rPr>
                <w:color w:val="auto"/>
                <w:sz w:val="24"/>
              </w:rPr>
              <w:t>м</w:t>
            </w:r>
            <w:r>
              <w:rPr>
                <w:color w:val="auto"/>
                <w:sz w:val="24"/>
                <w:highlight w:val="white"/>
              </w:rPr>
              <w:t>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Параметр возможной предельной высоты жилой застройки в соответствии с документацией по планировке территории, утвержденной постановлением администрации города Перми № 1178 от 22.12.2017 – не более 10,5 метров.</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 xml:space="preserve">Победителю аукциона (единственному участнику) рекомендовано обратиться в уполномоченный орган </w:t>
              <w:br/>
              <w:t>с уведомлением о планируемом строительстве жилого дома.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20"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В соответствии с «Правилами технологического присоединения...», утвержденными постановлением Правительства Российской Федерации N 861 от 27.12.2004 года (в посл. редакции) (далее - Правила), конкретные технические условия на энергоснабжение объекта будут разработаны в составе договора о технологическом присоединении.</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 размер платы определяется по утвержденным тарифам согласно постановлению PCT Пермского края от 29.12.2021 № 120-тп (в последней редакции).</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rPr>
              <w:t>Э</w:t>
            </w:r>
            <w:r>
              <w:rPr>
                <w:color w:val="auto"/>
                <w:sz w:val="24"/>
                <w:szCs w:val="24"/>
                <w:highlight w:val="white"/>
              </w:rPr>
              <w:t xml:space="preserve">лектроснабжение объектов, размещаемых </w:t>
              <w:br/>
              <w:t>на указанных площадках, возможно будет осуществить при условии строительства питающих линий электропередач 0,4 кВ на основании договора об осуществлении технологического присоединения объекта к электрическим сетям филиала «Пермэнерго» (при подготовке ГПЗУ необходимо предусмотреть трассы для строительства ЛЭП 0,4 кВ).</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Подать заявку на технологическое присоединение возможно через единый федеральный портал электросетевых услуг группы компаний «Россети» на сайте: httрs://портал-тп.рф или через Мобильное приложение ПAO «Россети».)</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val="auto"/>
                <w:spacing w:val="0"/>
                <w:sz w:val="24"/>
                <w:szCs w:val="24"/>
                <w:highlight w:val="white"/>
              </w:rPr>
              <w:t xml:space="preserve">ПАО «Россети Урал» - «Пермэнерго» Пермские </w:t>
            </w:r>
            <w:r>
              <w:rPr>
                <w:b/>
                <w:color w:val="auto"/>
                <w:spacing w:val="0"/>
                <w:sz w:val="24"/>
                <w:szCs w:val="24"/>
                <w:highlight w:val="white"/>
              </w:rPr>
              <w:t>городские электрические сети»</w:t>
            </w:r>
            <w:r>
              <w:rPr>
                <w:color w:val="auto"/>
                <w:spacing w:val="0"/>
                <w:sz w:val="24"/>
                <w:szCs w:val="24"/>
                <w:highlight w:val="white"/>
              </w:rPr>
              <w:t xml:space="preserve"> от 14.02.2023 № 22-07/33</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Возможность технологического присоединения к системе теплоснабжения имеется. Возможные точки присоединения к тепловых сетям: T-11-7 на тепловой сети M-94 2Ду150ии. Источник теплоснабжения: ТЭЦ-9. Тепловая нагрузка в возможных точках подключения 0,15 Гкал/ч.</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Земельный участок частично расположен в охранной зоне тепловых сетей. При проектировании и застройке участка необходимо выполнение условий, обеспечивающих:</w:t>
            </w:r>
          </w:p>
          <w:p>
            <w:pPr>
              <w:pStyle w:val="Normal"/>
              <w:spacing w:lineRule="auto" w:line="240" w:before="0" w:after="0"/>
              <w:ind w:firstLine="283" w:left="0" w:right="0"/>
              <w:jc w:val="both"/>
              <w:rPr>
                <w:rFonts w:ascii="Times New Roman" w:hAnsi="Times New Roman"/>
                <w:color w:val="auto"/>
                <w:sz w:val="23"/>
                <w:highlight w:val="none"/>
                <w14:ligatures w14:val="none"/>
              </w:rPr>
            </w:pPr>
            <w:r>
              <w:rPr>
                <w:color w:val="auto"/>
                <w:sz w:val="24"/>
                <w:szCs w:val="24"/>
              </w:rPr>
              <w:t>сохранность существующих тепловых сетей;</w:t>
            </w:r>
          </w:p>
          <w:p>
            <w:pPr>
              <w:pStyle w:val="Normal"/>
              <w:spacing w:lineRule="auto" w:line="240" w:before="0" w:after="0"/>
              <w:ind w:firstLine="283" w:left="0" w:right="0"/>
              <w:jc w:val="both"/>
              <w:rPr>
                <w:rFonts w:ascii="Times New Roman" w:hAnsi="Times New Roman"/>
                <w:color w:val="auto"/>
                <w:sz w:val="23"/>
                <w:highlight w:val="none"/>
                <w14:ligatures w14:val="none"/>
              </w:rPr>
            </w:pPr>
            <w:r>
              <w:rPr>
                <w:color w:val="auto"/>
                <w:sz w:val="24"/>
                <w:szCs w:val="24"/>
              </w:rPr>
              <w:t>соблюдение охранной зоны тепловых сетей (реестровый номер 59:01-6.4642);</w:t>
            </w:r>
          </w:p>
          <w:p>
            <w:pPr>
              <w:pStyle w:val="Normal"/>
              <w:spacing w:lineRule="auto" w:line="240" w:before="0" w:after="0"/>
              <w:ind w:firstLine="283" w:left="0" w:right="0"/>
              <w:jc w:val="both"/>
              <w:rPr>
                <w:rFonts w:ascii="Times New Roman" w:hAnsi="Times New Roman"/>
                <w:color w:val="auto"/>
                <w:sz w:val="23"/>
                <w:highlight w:val="none"/>
                <w14:ligatures w14:val="none"/>
              </w:rPr>
            </w:pPr>
            <w:r>
              <w:rPr>
                <w:color w:val="auto"/>
                <w:sz w:val="24"/>
                <w:szCs w:val="24"/>
              </w:rPr>
              <w:t>беспрепятственный доступ персонала и транспорта для обслуживания и ремонта тепловых сетей.</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color w:val="auto"/>
                <w:spacing w:val="0"/>
                <w:sz w:val="24"/>
                <w:szCs w:val="24"/>
                <w:highlight w:val="white"/>
              </w:rPr>
              <w:t>ПАО «Т Плюс»</w:t>
            </w:r>
            <w:r>
              <w:rPr>
                <w:color w:val="auto"/>
                <w:spacing w:val="0"/>
                <w:sz w:val="24"/>
                <w:szCs w:val="24"/>
                <w:highlight w:val="white"/>
              </w:rPr>
              <w:t xml:space="preserve"> от 10.02.2023 № 51030-01-00824</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адресу:г. Пермь, ул. Уральская, д. 104, каб. 101.</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val="auto"/>
                <w:spacing w:val="0"/>
                <w:sz w:val="24"/>
                <w:szCs w:val="24"/>
                <w:highlight w:val="white"/>
              </w:rPr>
              <w:t>АО «Газпром газораспределение Пермь»</w:t>
            </w:r>
            <w:r>
              <w:rPr>
                <w:color w:val="auto"/>
                <w:spacing w:val="0"/>
                <w:sz w:val="24"/>
                <w:szCs w:val="24"/>
                <w:highlight w:val="white"/>
              </w:rPr>
              <w:t>от 08.02.2023 № ПФ-691</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О наличии технической возможности подключения сетей водоснабжения и водоотведения с</w:t>
            </w:r>
            <w:r>
              <w:rPr>
                <w:rFonts w:eastAsia="Times New Roman" w:cs="Times New Roman"/>
                <w:color w:val="auto"/>
                <w:sz w:val="24"/>
                <w:szCs w:val="24"/>
              </w:rPr>
              <w:t xml:space="preserve"> предполагаемой величиной нагрузки 1,0 м3/сут. сообщается </w:t>
            </w:r>
            <w:r>
              <w:rPr>
                <w:color w:val="auto"/>
                <w:sz w:val="24"/>
                <w:szCs w:val="24"/>
              </w:rPr>
              <w:t>следующее.</w:t>
            </w:r>
          </w:p>
          <w:p>
            <w:pPr>
              <w:pStyle w:val="Normal"/>
              <w:spacing w:lineRule="auto" w:line="240" w:before="0" w:after="0"/>
              <w:ind w:firstLine="283" w:left="0" w:right="0"/>
              <w:jc w:val="both"/>
              <w:rPr>
                <w:rFonts w:ascii="Times New Roman" w:hAnsi="Times New Roman"/>
                <w:color w:val="auto"/>
                <w:sz w:val="26"/>
                <w:highlight w:val="none"/>
                <w14:ligatures w14:val="none"/>
              </w:rPr>
            </w:pPr>
            <w:r>
              <w:rPr>
                <w:color w:val="auto"/>
                <w:sz w:val="24"/>
                <w:szCs w:val="24"/>
              </w:rPr>
              <w:t>В районе вышеуказанного земельного участка отсутствуют централизованные сети водопровода и канализации, эксплуатируемые ООО «НОВОГОР-Прикамье».</w:t>
            </w:r>
          </w:p>
          <w:p>
            <w:pPr>
              <w:pStyle w:val="Normal"/>
              <w:spacing w:lineRule="auto" w:line="240" w:before="0" w:after="0"/>
              <w:ind w:firstLine="283" w:left="0" w:right="0"/>
              <w:jc w:val="both"/>
              <w:rPr>
                <w:rFonts w:ascii="Times New Roman" w:hAnsi="Times New Roman"/>
                <w:b w:val="false"/>
                <w:bCs w:val="false"/>
                <w:color w:val="FF0000"/>
                <w:sz w:val="24"/>
                <w:szCs w:val="24"/>
                <w:highlight w:val="yellow"/>
              </w:rPr>
            </w:pPr>
            <w:r>
              <w:rPr>
                <w:b w:val="false"/>
                <w:bCs w:val="false"/>
                <w:color w:val="auto"/>
                <w:sz w:val="24"/>
                <w:szCs w:val="24"/>
              </w:rPr>
              <w:t>При проектировании могут быть применены альтернативные способы водоснабжения и водоотведения, без подключения к централизованным системам водопровода и канализации г. Перми (снабжение водой от скважины, отвод стоков частного жилого дома в выгребную яму или на локальные очистные сооружен</w:t>
            </w:r>
            <w:r>
              <w:rPr>
                <w:b w:val="false"/>
                <w:bCs w:val="false"/>
                <w:color w:val="auto"/>
                <w:sz w:val="24"/>
                <w:szCs w:val="24"/>
                <w:highlight w:val="white"/>
              </w:rPr>
              <w:t>ия с последующие вывозом спец. машинами), которые должны соответствовать всем нормативным требованиям Российской Федерации.</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val="auto"/>
                <w:spacing w:val="0"/>
                <w:sz w:val="24"/>
                <w:szCs w:val="24"/>
                <w:highlight w:val="white"/>
              </w:rPr>
              <w:t>ООО «НОВОГОР-Прикамье»</w:t>
            </w:r>
            <w:r>
              <w:rPr>
                <w:color w:val="auto"/>
                <w:spacing w:val="0"/>
                <w:sz w:val="24"/>
                <w:szCs w:val="24"/>
                <w:highlight w:val="white"/>
              </w:rPr>
              <w:t xml:space="preserve"> от 07.02.2023 № 110-1780</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p>
            <w:pPr>
              <w:pStyle w:val="Normal"/>
              <w:spacing w:lineRule="auto" w:line="240" w:before="0" w:after="0"/>
              <w:ind w:firstLine="283" w:left="0" w:right="0"/>
              <w:jc w:val="both"/>
              <w:rPr>
                <w:color w:val="auto"/>
              </w:rPr>
            </w:pPr>
            <w:r>
              <w:rPr>
                <w:b w:val="false"/>
                <w:bCs w:val="false"/>
                <w:color w:val="auto"/>
                <w:sz w:val="24"/>
                <w:szCs w:val="24"/>
              </w:rPr>
              <w:t>Технологическое присоединение к сетям связи ПАО «Ростелеком» может быть произведено к узлу ВОЛС (г. Пермь, ул. Маяковского, д. 33а),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283" w:left="0" w:right="0"/>
              <w:jc w:val="both"/>
              <w:rPr>
                <w:color w:val="auto"/>
              </w:rPr>
            </w:pPr>
            <w:r>
              <w:rPr>
                <w:b w:val="false"/>
                <w:bCs w:val="false"/>
                <w:color w:val="auto"/>
                <w:sz w:val="24"/>
                <w:szCs w:val="24"/>
              </w:rPr>
              <w:t xml:space="preserve">Для получения технических условий на подключение </w:t>
              <w:br/>
              <w:t xml:space="preserve">к сетям связи ПАО «Ростелеком» необходимо обратиться в Отдел продаж и обслуживания по адресу: г. Пермь, </w:t>
              <w:br/>
              <w:t>ул. Крупской, 2, тел.: (342) 235-57-34 или направить запрос на perm-mail@ural.rt.ru.</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t xml:space="preserve">(Аналогичная информация отражена в письме </w:t>
            </w:r>
            <w:r>
              <w:rPr>
                <w:b/>
                <w:bCs/>
                <w:color w:val="auto"/>
                <w:spacing w:val="0"/>
                <w:sz w:val="24"/>
                <w:szCs w:val="24"/>
                <w:highlight w:val="white"/>
              </w:rPr>
              <w:t xml:space="preserve">ПАО «Ростелеком» </w:t>
            </w:r>
            <w:r>
              <w:rPr>
                <w:b w:val="false"/>
                <w:bCs w:val="false"/>
                <w:color w:val="auto"/>
                <w:spacing w:val="0"/>
                <w:sz w:val="24"/>
                <w:szCs w:val="24"/>
                <w:highlight w:val="white"/>
              </w:rPr>
              <w:t>от 26.06.2024 № 01/05/91150/24</w:t>
            </w:r>
            <w:r>
              <w:rPr>
                <w:spacing w:val="0"/>
                <w:sz w:val="24"/>
                <w:szCs w:val="24"/>
                <w:highlight w:val="white"/>
              </w:rPr>
              <w:t>).</w:t>
            </w:r>
          </w:p>
          <w:p>
            <w:pPr>
              <w:pStyle w:val="Normal"/>
              <w:spacing w:lineRule="auto" w:line="240" w:before="0" w:after="0"/>
              <w:ind w:firstLine="311"/>
              <w:jc w:val="both"/>
              <w:rPr>
                <w:rFonts w:ascii="Times New Roman" w:hAnsi="Times New Roman"/>
                <w:spacing w:val="0"/>
                <w:sz w:val="24"/>
                <w:szCs w:val="24"/>
                <w:highlight w:val="white"/>
              </w:rPr>
            </w:pPr>
            <w:r>
              <w:rPr>
                <w:spacing w:val="0"/>
                <w:sz w:val="24"/>
                <w:szCs w:val="24"/>
                <w:highlight w:val="whit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rPr>
              <w:t xml:space="preserve">По условиям пункта 4.3 проекта договора аренды земельного участка, приобретаемого на торгах в форме аукциона, для строительства (Приложение 5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(далее – ЗК РФ), обязан до подписания договора уплатить ежегодный размер арендной платы, указанный в п. 4.2 договора </w:t>
              <w:br/>
              <w:t xml:space="preserve">(за вычетом задатка, внесенного для участия </w:t>
              <w:br/>
              <w:t xml:space="preserve">в аукционе) </w:t>
            </w:r>
            <w:r>
              <w:rPr>
                <w:b/>
                <w:bCs/>
                <w:sz w:val="24"/>
                <w:szCs w:val="24"/>
              </w:rPr>
              <w:t xml:space="preserve">за 1 год </w:t>
            </w:r>
            <w:r>
              <w:rPr>
                <w:b w:val="false"/>
                <w:bCs w:val="false"/>
                <w:sz w:val="24"/>
                <w:szCs w:val="24"/>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w:t>
            </w:r>
            <w:r>
              <w:rPr>
                <w:b w:val="false"/>
                <w:bCs w:val="false"/>
                <w:sz w:val="24"/>
                <w:szCs w:val="24"/>
                <w:shd w:fill="auto" w:val="clear"/>
              </w:rPr>
              <w:t>реквизиты которого указаны в проекте договора аренды земельного участка (Приложение 5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0"/>
              </w:rPr>
              <w:t>314 400</w:t>
            </w:r>
            <w:r>
              <w:rPr>
                <w:sz w:val="24"/>
                <w:szCs w:val="24"/>
              </w:rPr>
              <w:t xml:space="preserve">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0"/>
              </w:rPr>
              <w:t>15 720</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highlight w:val="none"/>
                <w:shd w:fill="auto" w:val="clear"/>
              </w:rPr>
            </w:pPr>
            <w:r>
              <w:rPr>
                <w:b/>
                <w:bCs/>
                <w:color w:val="000000"/>
                <w:sz w:val="24"/>
                <w:szCs w:val="24"/>
                <w:shd w:fill="auto" w:val="clear"/>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0"/>
              </w:rPr>
              <w:t>157 200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hd w:fill="auto" w:val="clear"/>
                <w:lang w:val="en-US" w:eastAsia="en-US"/>
              </w:rPr>
              <w:t>сайтах www.torgi.gov.ru, www.gorodperm.ru</w:t>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12.03.2024</w:t>
              <w:br/>
              <w:t>15.03.2024</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5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widowControl w:val="false"/>
        <w:spacing w:before="0" w:after="0"/>
        <w:ind w:left="0"/>
        <w:contextualSpacing/>
        <w:jc w:val="center"/>
        <w:rPr>
          <w:rFonts w:eastAsia="Courier New"/>
          <w:b/>
          <w:bCs/>
          <w:highlight w:val="none"/>
          <w:lang w:bidi="ru-RU"/>
        </w:rPr>
      </w:pPr>
      <w:r>
        <w:rPr>
          <w:rFonts w:eastAsia="Courier New"/>
          <w:b/>
          <w:lang w:bidi="ru-RU"/>
        </w:rPr>
        <w:t>Сроки, время подачи заявок, рассмотрения заявок, проведения аукциона</w:t>
      </w:r>
    </w:p>
    <w:p>
      <w:pPr>
        <w:pStyle w:val="Normal"/>
        <w:widowControl w:val="false"/>
        <w:spacing w:before="0" w:after="0"/>
        <w:ind w:left="567"/>
        <w:contextualSpacing/>
        <w:jc w:val="center"/>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и время начала срока подачи заявок на участие в аукционе – 01.11.2025</w:t>
      </w:r>
      <w:r>
        <w:rPr>
          <w:rFonts w:eastAsia="Courier New"/>
          <w:lang w:bidi="ru-RU"/>
        </w:rPr>
        <w:t xml:space="preserve"> в 9:00 </w:t>
      </w:r>
      <w:r>
        <w:rPr>
          <w:rFonts w:eastAsia="Courier New"/>
          <w:lang w:bidi="ru-RU"/>
        </w:rPr>
        <w:br w:type="textWrapping" w:clear="all"/>
      </w:r>
      <w:r>
        <w:rPr>
          <w:rFonts w:eastAsia="Courier New"/>
          <w:lang w:bidi="ru-RU"/>
        </w:rPr>
        <w:t>по местному времени (7:00 МСК).</w:t>
      </w:r>
    </w:p>
    <w:p>
      <w:pPr>
        <w:pStyle w:val="Normal"/>
        <w:widowControl w:val="false"/>
        <w:ind w:firstLine="709" w:left="-567"/>
        <w:jc w:val="both"/>
        <w:rPr>
          <w:rFonts w:eastAsia="Courier New"/>
          <w:lang w:bidi="ru-RU"/>
        </w:rPr>
      </w:pPr>
      <w:r>
        <w:rPr>
          <w:rFonts w:eastAsia="Courier New"/>
          <w:lang w:bidi="ru-RU"/>
        </w:rPr>
      </w:r>
    </w:p>
    <w:p>
      <w:pPr>
        <w:pStyle w:val="Normal"/>
        <w:widowControl w:val="false"/>
        <w:ind w:firstLine="709" w:left="-567"/>
        <w:jc w:val="both"/>
        <w:rPr>
          <w:rFonts w:eastAsia="Courier New"/>
          <w:b/>
          <w:lang w:bidi="ru-RU"/>
        </w:rPr>
      </w:pPr>
      <w:r>
        <w:rPr>
          <w:rFonts w:eastAsia="Courier New"/>
          <w:b/>
          <w:lang w:bidi="ru-RU"/>
        </w:rPr>
        <w:t>Дата и время окончания срока подачи заявок на участие в аукционе – 02.12.2025</w:t>
      </w:r>
      <w:r>
        <w:rPr>
          <w:rFonts w:eastAsia="Courier New"/>
          <w:lang w:bidi="ru-RU"/>
        </w:rPr>
        <w:t xml:space="preserve"> </w:t>
      </w:r>
      <w:r>
        <w:rPr>
          <w:rFonts w:eastAsia="Courier New"/>
          <w:lang w:bidi="ru-RU"/>
        </w:rPr>
        <w:br w:type="textWrapping" w:clear="all"/>
      </w:r>
      <w:r>
        <w:rPr>
          <w:rFonts w:eastAsia="Courier New"/>
          <w:lang w:bidi="ru-RU"/>
        </w:rPr>
        <w:t xml:space="preserve">в 18:00 по местному времени (16:00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окончания срока рассмотрения заявок на участие в аукционе (определение участников аукциона)</w:t>
      </w:r>
      <w:r>
        <w:rPr>
          <w:rFonts w:eastAsia="Courier New"/>
          <w:lang w:bidi="ru-RU"/>
        </w:rPr>
        <w:t xml:space="preserve"> –</w:t>
      </w:r>
      <w:r>
        <w:rPr>
          <w:rFonts w:eastAsia="Courier New"/>
          <w:b/>
          <w:bCs/>
          <w:lang w:bidi="ru-RU"/>
        </w:rPr>
        <w:t xml:space="preserve"> 03.12.2025. </w:t>
      </w:r>
    </w:p>
    <w:p>
      <w:pPr>
        <w:pStyle w:val="Normal"/>
        <w:widowControl w:val="false"/>
        <w:ind w:firstLine="709" w:left="-567"/>
        <w:jc w:val="both"/>
        <w:rPr>
          <w:rFonts w:eastAsia="Courier New"/>
          <w:b/>
          <w:bCs/>
          <w:lang w:bidi="ru-RU"/>
        </w:rPr>
      </w:pPr>
      <w:r>
        <w:rPr>
          <w:rFonts w:eastAsia="Courier New"/>
          <w:b/>
          <w:bCs/>
          <w:lang w:bidi="ru-RU"/>
        </w:rPr>
      </w:r>
    </w:p>
    <w:p>
      <w:pPr>
        <w:pStyle w:val="Normal"/>
        <w:widowControl w:val="false"/>
        <w:ind w:firstLine="709" w:left="-567"/>
        <w:jc w:val="both"/>
        <w:rPr>
          <w:rFonts w:eastAsia="Courier New"/>
          <w:b/>
          <w:lang w:bidi="ru-RU"/>
        </w:rPr>
      </w:pPr>
      <w:r>
        <w:rPr>
          <w:rFonts w:eastAsia="Courier New"/>
          <w:b/>
          <w:bCs/>
          <w:lang w:bidi="ru-RU"/>
        </w:rPr>
        <w:t xml:space="preserve">Дата проведения аукциона (дата и время начала приема предложений </w:t>
      </w:r>
      <w:r>
        <w:rPr>
          <w:rFonts w:eastAsia="Courier New"/>
          <w:b/>
          <w:bCs/>
          <w:lang w:bidi="ru-RU"/>
        </w:rPr>
        <w:br w:type="textWrapping" w:clear="all"/>
      </w:r>
      <w:r>
        <w:rPr>
          <w:rFonts w:eastAsia="Courier New"/>
          <w:b/>
          <w:bCs/>
          <w:lang w:bidi="ru-RU"/>
        </w:rPr>
        <w:t>от участников аукциона) – 04.12</w:t>
      </w:r>
      <w:r>
        <w:rPr>
          <w:rFonts w:eastAsia="Courier New"/>
          <w:b/>
          <w:lang w:bidi="ru-RU"/>
        </w:rPr>
        <w:t>.2025</w:t>
      </w:r>
      <w:r>
        <w:rPr>
          <w:rFonts w:eastAsia="Courier New"/>
          <w:lang w:bidi="ru-RU"/>
        </w:rPr>
        <w:t xml:space="preserve"> в 09:00 по местному времени (07:00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highlight w:val="none"/>
        </w:rPr>
      </w:pPr>
      <w:r>
        <w:rPr>
          <w:b/>
        </w:rPr>
        <w:t>Место подачи (приема) заявок и место проведения аукциона:</w:t>
      </w:r>
      <w:r>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widowControl w:val="false"/>
        <w:jc w:val="both"/>
        <w:rPr/>
      </w:pPr>
      <w:r>
        <w:rPr/>
      </w:r>
    </w:p>
    <w:p>
      <w:pPr>
        <w:pStyle w:val="Normal"/>
        <w:widowControl w:val="false"/>
        <w:ind w:firstLine="709" w:left="-567"/>
        <w:jc w:val="center"/>
        <w:rPr>
          <w:b/>
        </w:rPr>
      </w:pPr>
      <w:r>
        <w:rPr>
          <w:b/>
        </w:rPr>
        <w:t>Плата оператору электронной площадки за участие в электронном аукционе</w:t>
      </w:r>
    </w:p>
    <w:p>
      <w:pPr>
        <w:pStyle w:val="Normal"/>
        <w:widowControl w:val="false"/>
        <w:ind w:firstLine="709" w:left="-567"/>
        <w:jc w:val="center"/>
        <w:rPr>
          <w:b/>
        </w:rPr>
      </w:pPr>
      <w:r>
        <w:rPr>
          <w:b/>
        </w:rPr>
      </w:r>
    </w:p>
    <w:p>
      <w:pPr>
        <w:pStyle w:val="Normal"/>
        <w:widowControl w:val="false"/>
        <w:ind w:firstLine="709" w:left="-567"/>
        <w:jc w:val="both"/>
        <w:rPr/>
      </w:pPr>
      <w:r>
        <w:rPr/>
        <w:t xml:space="preserve">В соответствии с постановлением Правительства Российской Федерации от 10 мая 2018 г. </w:t>
      </w:r>
      <w:r>
        <w:rPr/>
        <w:br w:type="textWrapping" w:clear="all"/>
      </w:r>
      <w:r>
        <w:rPr/>
        <w:t>№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установления ее предельных размеров» оператор электронной площадки вправе взимать плату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в размере 1% начальной цены предмета аукциона, но не более 5 тыс. рублей без учета налога на добавленную стоимость.</w:t>
      </w:r>
    </w:p>
    <w:p>
      <w:pPr>
        <w:pStyle w:val="Normal"/>
        <w:widowControl w:val="false"/>
        <w:ind w:firstLine="709" w:left="-567"/>
        <w:jc w:val="both"/>
        <w:rPr/>
      </w:pPr>
      <w:r>
        <w:rPr/>
        <w:t>По информации оператора электронной площадки АО «Сбербанк-АСТ» в настоящее время взимание платы не установлено.</w:t>
      </w:r>
    </w:p>
    <w:p>
      <w:pPr>
        <w:pStyle w:val="Normal"/>
        <w:widowControl w:val="false"/>
        <w:ind w:firstLine="709" w:left="-567"/>
        <w:jc w:val="both"/>
        <w:rPr/>
      </w:pPr>
      <w:r>
        <w:rPr/>
      </w:r>
    </w:p>
    <w:p>
      <w:pPr>
        <w:pStyle w:val="Normal"/>
        <w:widowControl w:val="false"/>
        <w:spacing w:before="0" w:after="0"/>
        <w:ind w:left="502"/>
        <w:contextualSpacing/>
        <w:jc w:val="center"/>
        <w:rPr>
          <w:b/>
          <w:bCs/>
          <w:lang w:bidi="ru-RU"/>
        </w:rPr>
      </w:pPr>
      <w:r>
        <w:rPr>
          <w:b/>
          <w:bCs/>
          <w:lang w:bidi="ru-RU"/>
        </w:rPr>
        <w:t>Размер задатка для участия в аукционе, порядок его внесения и возврата, реквизиты счета для перечисления задатка</w:t>
      </w:r>
    </w:p>
    <w:p>
      <w:pPr>
        <w:pStyle w:val="Normal"/>
        <w:widowControl w:val="false"/>
        <w:spacing w:before="0" w:after="0"/>
        <w:ind w:left="502"/>
        <w:contextualSpacing/>
        <w:jc w:val="center"/>
        <w:rPr>
          <w:b/>
          <w:bCs/>
          <w:lang w:bidi="ru-RU"/>
        </w:rPr>
      </w:pPr>
      <w:r>
        <w:rPr>
          <w:b/>
          <w:bCs/>
          <w:lang w:bidi="ru-RU"/>
        </w:rPr>
      </w:r>
    </w:p>
    <w:p>
      <w:pPr>
        <w:pStyle w:val="Normal"/>
        <w:widowControl w:val="false"/>
        <w:spacing w:before="0" w:after="0"/>
        <w:ind w:firstLine="567" w:left="-567"/>
        <w:contextualSpacing/>
        <w:jc w:val="both"/>
        <w:rPr>
          <w:bCs/>
          <w:lang w:bidi="ru-RU"/>
        </w:rPr>
      </w:pPr>
      <w:r>
        <w:rPr>
          <w:bCs/>
          <w:lang w:bidi="ru-RU"/>
        </w:rPr>
        <w:t xml:space="preserve">Заявители, зарегистрированные на электронной площадке в установленном порядке, </w:t>
        <w:br/>
        <w:t xml:space="preserve">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w:t>
      </w:r>
    </w:p>
    <w:p>
      <w:pPr>
        <w:pStyle w:val="Normal"/>
        <w:widowControl w:val="false"/>
        <w:spacing w:before="0" w:after="0"/>
        <w:ind w:firstLine="567" w:left="-567"/>
        <w:contextualSpacing/>
        <w:jc w:val="both"/>
        <w:rPr>
          <w:bCs/>
          <w:lang w:bidi="ru-RU"/>
        </w:rPr>
      </w:pPr>
      <w:r>
        <w:rPr>
          <w:bCs/>
          <w:lang w:bidi="ru-RU"/>
        </w:rPr>
        <w:t xml:space="preserve">В момент подачи заявки Оператор проверяет наличие денежной суммы в размере задатка </w:t>
      </w:r>
      <w:r>
        <w:rPr>
          <w:bCs/>
          <w:lang w:bidi="ru-RU"/>
        </w:rPr>
        <w:br w:type="textWrapping" w:clear="all"/>
      </w:r>
      <w:r>
        <w:rPr>
          <w:bCs/>
          <w:lang w:bidi="ru-RU"/>
        </w:rPr>
        <w:t>на лицевом счете заявителя и осуществляет блокирование необходимой денежной суммы.</w:t>
      </w:r>
    </w:p>
    <w:p>
      <w:pPr>
        <w:pStyle w:val="Normal"/>
        <w:widowControl w:val="false"/>
        <w:spacing w:before="0" w:after="0"/>
        <w:ind w:firstLine="567" w:left="-567"/>
        <w:contextualSpacing/>
        <w:jc w:val="both"/>
        <w:rPr>
          <w:bCs/>
          <w:lang w:bidi="ru-RU"/>
        </w:rPr>
      </w:pPr>
      <w:r>
        <w:rPr>
          <w:bCs/>
          <w:lang w:bidi="ru-RU"/>
        </w:rPr>
        <w:t>Представление документов, подтверждающих внесение задатка, признается заключением соглашения о задатке (п.2 ст. 39.12 Земельного кодекса Российской Федерации).</w:t>
      </w:r>
    </w:p>
    <w:p>
      <w:pPr>
        <w:pStyle w:val="Normal"/>
        <w:widowControl w:val="false"/>
        <w:spacing w:before="0" w:after="0"/>
        <w:ind w:firstLine="567" w:left="-567"/>
        <w:contextualSpacing/>
        <w:jc w:val="both"/>
        <w:rPr>
          <w:bCs/>
          <w:lang w:bidi="ru-RU"/>
        </w:rPr>
      </w:pPr>
      <w:r>
        <w:rPr>
          <w:bCs/>
          <w:lang w:bidi="ru-RU"/>
        </w:rPr>
        <w:t>Сумма задатка для участия в аукционе определяется в размере 50 процентов от начальной цены предмета аукциона. Размер задатка в извещении о проведении аукциона указан по каждому лоту.</w:t>
      </w:r>
    </w:p>
    <w:p>
      <w:pPr>
        <w:pStyle w:val="Normal"/>
        <w:widowControl w:val="false"/>
        <w:spacing w:before="0" w:after="0"/>
        <w:ind w:firstLine="567" w:left="-567"/>
        <w:contextualSpacing/>
        <w:jc w:val="both"/>
        <w:rPr>
          <w:b/>
          <w:bCs/>
          <w:lang w:bidi="ru-RU"/>
        </w:rPr>
      </w:pPr>
      <w:r>
        <w:rPr>
          <w:bCs/>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pPr>
        <w:pStyle w:val="Normal"/>
        <w:widowControl w:val="false"/>
        <w:ind w:firstLine="567" w:left="-567"/>
        <w:jc w:val="both"/>
        <w:rPr>
          <w:rFonts w:eastAsia="Calibri"/>
          <w:bCs/>
          <w:lang w:eastAsia="en-US"/>
        </w:rPr>
      </w:pPr>
      <w:r>
        <w:rPr>
          <w:b/>
          <w:bCs/>
          <w:lang w:bidi="ru-RU"/>
        </w:rPr>
        <w:t>Задаток перечисляется на реквизиты Оператора электронной площадки (</w:t>
      </w:r>
      <w:hyperlink r:id="rId21" w:tgtFrame="http://utp.sberbank-ast.ru/AP/Notice/653/Requisites">
        <w:r>
          <w:rPr>
            <w:rStyle w:val="Hyperlink"/>
            <w:b/>
            <w:bCs/>
            <w:lang w:bidi="ru-RU"/>
          </w:rPr>
          <w:t>http://utp.sberbank-ast.ru/AP/Notice/653/Requisites</w:t>
        </w:r>
      </w:hyperlink>
      <w:r>
        <w:rPr>
          <w:b/>
          <w:bCs/>
          <w:lang w:bidi="ru-RU"/>
        </w:rPr>
        <w:t>).</w:t>
      </w:r>
    </w:p>
    <w:p>
      <w:pPr>
        <w:pStyle w:val="Normal"/>
        <w:spacing w:lineRule="exact" w:line="240"/>
        <w:rPr>
          <w:rFonts w:eastAsia="Calibri"/>
          <w:bCs/>
          <w:lang w:eastAsia="en-US"/>
        </w:rPr>
      </w:pPr>
      <w:r>
        <w:rPr>
          <w:rFonts w:eastAsia="Calibri"/>
          <w:bCs/>
          <w:lang w:eastAsia="en-US"/>
        </w:rPr>
        <w:t>Получатель: АО «Сбербанк-АСТ»</w:t>
      </w:r>
    </w:p>
    <w:p>
      <w:pPr>
        <w:pStyle w:val="Normal"/>
        <w:spacing w:lineRule="exact" w:line="240"/>
        <w:rPr>
          <w:rFonts w:eastAsia="Calibri"/>
          <w:bCs/>
          <w:lang w:eastAsia="en-US"/>
        </w:rPr>
      </w:pPr>
      <w:r>
        <w:rPr>
          <w:rFonts w:eastAsia="Calibri"/>
          <w:bCs/>
          <w:lang w:eastAsia="en-US"/>
        </w:rPr>
        <w:t xml:space="preserve">ИНН: 7707308480, КПП: 770401001, </w:t>
      </w:r>
    </w:p>
    <w:p>
      <w:pPr>
        <w:pStyle w:val="Normal"/>
        <w:spacing w:lineRule="exact" w:line="240"/>
        <w:rPr/>
      </w:pPr>
      <w:r>
        <w:rPr>
          <w:rFonts w:eastAsia="Calibri"/>
          <w:bCs/>
          <w:lang w:eastAsia="en-US"/>
        </w:rPr>
        <w:t>Банк получателя: ПАО «СБЕРБАНК РОССИИ» Г. МОСКВА</w:t>
      </w:r>
    </w:p>
    <w:p>
      <w:pPr>
        <w:pStyle w:val="Normal"/>
        <w:spacing w:lineRule="exact" w:line="240"/>
        <w:rPr>
          <w:rFonts w:eastAsia="Calibri"/>
          <w:bCs/>
          <w:lang w:eastAsia="en-US"/>
        </w:rPr>
      </w:pPr>
      <w:r>
        <w:rPr/>
        <w:t xml:space="preserve">Расчетный счет: </w:t>
      </w:r>
      <w:r>
        <w:rPr>
          <w:rFonts w:eastAsia="Calibri"/>
          <w:bCs/>
          <w:lang w:eastAsia="en-US"/>
        </w:rPr>
        <w:t>40702810300020038047</w:t>
      </w:r>
    </w:p>
    <w:p>
      <w:pPr>
        <w:pStyle w:val="Normal"/>
        <w:spacing w:lineRule="exact" w:line="240"/>
        <w:rPr>
          <w:rFonts w:eastAsia="Calibri"/>
          <w:bCs/>
          <w:lang w:eastAsia="en-US"/>
        </w:rPr>
      </w:pPr>
      <w:r>
        <w:rPr>
          <w:rFonts w:eastAsia="Calibri"/>
          <w:bCs/>
          <w:lang w:eastAsia="en-US"/>
        </w:rPr>
        <w:t>БИК: 044525225</w:t>
      </w:r>
    </w:p>
    <w:p>
      <w:pPr>
        <w:pStyle w:val="Normal"/>
        <w:spacing w:lineRule="exact" w:line="240"/>
        <w:rPr>
          <w:bCs/>
          <w:lang w:bidi="ru-RU"/>
        </w:rPr>
      </w:pPr>
      <w:r>
        <w:rPr>
          <w:rFonts w:eastAsia="Calibri"/>
          <w:bCs/>
          <w:lang w:eastAsia="en-US"/>
        </w:rPr>
        <w:t>Корреспондентский счет: 30101810400000000225</w:t>
      </w:r>
    </w:p>
    <w:p>
      <w:pPr>
        <w:pStyle w:val="Normal"/>
        <w:widowControl w:val="false"/>
        <w:ind w:firstLine="567" w:left="-567"/>
        <w:jc w:val="both"/>
        <w:rPr>
          <w:b/>
        </w:rPr>
      </w:pPr>
      <w:r>
        <w:rPr>
          <w:bCs/>
          <w:lang w:bidi="ru-RU"/>
        </w:rPr>
        <w:t>В платёжном поручении в части «Назначение платежа» необходимо указать: Задаток по лоту  № ___, ИНН плательщика. НДС не облагается.</w:t>
      </w:r>
    </w:p>
    <w:p>
      <w:pPr>
        <w:pStyle w:val="Normal"/>
        <w:widowControl w:val="false"/>
        <w:ind w:firstLine="567" w:left="-567"/>
        <w:jc w:val="both"/>
        <w:rPr>
          <w:bCs/>
          <w:lang w:bidi="ru-RU"/>
        </w:rPr>
      </w:pPr>
      <w:r>
        <w:rPr>
          <w:b/>
        </w:rPr>
        <w:t xml:space="preserve">Срок внесения задатка, т.е. поступления суммы задатка на счет </w:t>
      </w:r>
      <w:r>
        <w:rPr>
          <w:rFonts w:eastAsia="Calibri"/>
          <w:b/>
        </w:rPr>
        <w:t>Оператора</w:t>
      </w:r>
      <w:r>
        <w:rPr>
          <w:b/>
        </w:rPr>
        <w:t xml:space="preserve">: </w:t>
      </w:r>
      <w:r>
        <w:rPr>
          <w:b/>
        </w:rPr>
        <w:br w:type="textWrapping" w:clear="all"/>
      </w:r>
      <w:r>
        <w:rPr>
          <w:bCs/>
          <w:lang w:bidi="ru-RU"/>
        </w:rPr>
        <w:t>c 01.11.2025 по 02.12.2025.</w:t>
      </w:r>
    </w:p>
    <w:p>
      <w:pPr>
        <w:pStyle w:val="Normal"/>
        <w:widowControl w:val="false"/>
        <w:ind w:firstLine="709" w:left="-567"/>
        <w:jc w:val="both"/>
        <w:rPr>
          <w:bCs/>
          <w:lang w:bidi="ru-RU"/>
        </w:rPr>
      </w:pPr>
      <w:r>
        <w:rPr>
          <w:bCs/>
          <w:lang w:bidi="ru-RU"/>
        </w:rPr>
      </w:r>
    </w:p>
    <w:p>
      <w:pPr>
        <w:pStyle w:val="Normal"/>
        <w:widowControl w:val="false"/>
        <w:ind w:firstLine="709" w:left="-567"/>
        <w:jc w:val="center"/>
        <w:rPr>
          <w:b/>
          <w:lang w:bidi="ru-RU"/>
        </w:rPr>
      </w:pPr>
      <w:r>
        <w:rPr>
          <w:b/>
          <w:lang w:bidi="ru-RU"/>
        </w:rPr>
        <w:t>Порядок возврата задатка:</w:t>
      </w:r>
    </w:p>
    <w:p>
      <w:pPr>
        <w:pStyle w:val="Normal"/>
        <w:widowControl w:val="false"/>
        <w:ind w:firstLine="709" w:left="-567"/>
        <w:jc w:val="both"/>
        <w:rPr>
          <w:b/>
          <w:lang w:bidi="ru-RU"/>
        </w:rPr>
      </w:pPr>
      <w:r>
        <w:rPr>
          <w:b/>
          <w:lang w:bidi="ru-RU"/>
        </w:rPr>
      </w:r>
    </w:p>
    <w:p>
      <w:pPr>
        <w:pStyle w:val="Normal"/>
        <w:widowControl w:val="false"/>
        <w:spacing w:before="0" w:after="0"/>
        <w:ind w:firstLine="567" w:left="-567"/>
        <w:contextualSpacing/>
        <w:jc w:val="both"/>
        <w:rPr>
          <w:lang w:bidi="ru-RU"/>
        </w:rPr>
      </w:pPr>
      <w:r>
        <w:rPr>
          <w:bCs/>
          <w:lang w:bidi="ru-RU"/>
        </w:rPr>
        <w:t>Задаток возвращается лицам, участвовавшим в аукционе, но не победившим в нем, в течение трех ра</w:t>
      </w:r>
      <w:r>
        <w:rPr>
          <w:bCs/>
          <w:shd w:fill="auto" w:val="clear"/>
          <w:lang w:bidi="ru-RU"/>
        </w:rPr>
        <w:t xml:space="preserve">бочих дней со дня подписания протокола о результатах аукциона, </w:t>
      </w:r>
      <w:r>
        <w:rPr>
          <w:b w:val="false"/>
          <w:bCs/>
          <w:shd w:fill="auto" w:val="clear"/>
          <w:lang w:bidi="ru-RU"/>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pPr>
        <w:pStyle w:val="Normal"/>
        <w:widowControl w:val="false"/>
        <w:spacing w:before="0" w:after="0"/>
        <w:ind w:firstLine="567" w:left="-567"/>
        <w:contextualSpacing/>
        <w:jc w:val="both"/>
        <w:rPr>
          <w:highlight w:val="none"/>
          <w:shd w:fill="auto" w:val="clear"/>
        </w:rPr>
      </w:pPr>
      <w:r>
        <w:rPr>
          <w:shd w:fill="auto" w:val="clear"/>
          <w:lang w:bidi="ru-RU"/>
        </w:rPr>
        <w:t xml:space="preserve">Заявителю, не допущенному к участию в аукционе, внесенный им задаток возвращается </w:t>
      </w:r>
      <w:r>
        <w:rPr>
          <w:shd w:fill="auto" w:val="clear"/>
          <w:lang w:bidi="ru-RU"/>
        </w:rPr>
        <w:br w:type="textWrapping" w:clear="all"/>
      </w:r>
      <w:r>
        <w:rPr>
          <w:shd w:fill="auto" w:val="clear"/>
          <w:lang w:bidi="ru-RU"/>
        </w:rPr>
        <w:t xml:space="preserve">в течение трех рабочих дней со дня оформления протокола рассмотрения заявок на участие в аукционе. </w:t>
      </w:r>
    </w:p>
    <w:p>
      <w:pPr>
        <w:pStyle w:val="Normal"/>
        <w:widowControl w:val="false"/>
        <w:ind w:firstLine="567" w:left="-567"/>
        <w:jc w:val="both"/>
        <w:rPr>
          <w:highlight w:val="none"/>
          <w:shd w:fill="auto" w:val="clear"/>
        </w:rPr>
      </w:pPr>
      <w:r>
        <w:rPr>
          <w:shd w:fill="auto" w:val="clear"/>
          <w:lang w:bidi="ru-RU"/>
        </w:rPr>
        <w:t xml:space="preserve">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 результатах аукциона, за исключением единственного заявителя, признанного участником аукциона, победителя аукциона, единственного принявшего участие </w:t>
        <w:br/>
        <w:t xml:space="preserve">в аукционе участника, а также </w:t>
      </w:r>
      <w:r>
        <w:rPr>
          <w:b w:val="false"/>
          <w:shd w:fill="auto" w:val="clear"/>
          <w:lang w:bidi="ru-RU"/>
        </w:rPr>
        <w:t>участника аукциона, который сделал предпоследнее предложение о цене предмета аукциона.</w:t>
      </w:r>
    </w:p>
    <w:p>
      <w:pPr>
        <w:pStyle w:val="Normal"/>
        <w:widowControl w:val="false"/>
        <w:ind w:firstLine="567" w:left="-567"/>
        <w:jc w:val="both"/>
        <w:rPr>
          <w:highlight w:val="none"/>
          <w:shd w:fill="auto" w:val="clear"/>
        </w:rPr>
      </w:pPr>
      <w:r>
        <w:rPr>
          <w:shd w:fill="auto" w:val="clear"/>
          <w:lang w:bidi="ru-RU"/>
        </w:rPr>
        <w:t xml:space="preserve">Организатор аукциона посредством штатного интерфейса торговой секции </w:t>
      </w:r>
      <w:r>
        <w:rPr>
          <w:shd w:fill="auto" w:val="clear"/>
          <w:lang w:bidi="ru-RU"/>
        </w:rPr>
        <w:br w:type="textWrapping" w:clear="all"/>
      </w:r>
      <w:r>
        <w:rPr>
          <w:shd w:fill="auto" w:val="clear"/>
          <w:lang w:bidi="ru-RU"/>
        </w:rPr>
        <w:t>в установленные сроки формирует поручение Оператору:</w:t>
      </w:r>
    </w:p>
    <w:p>
      <w:pPr>
        <w:pStyle w:val="Normal"/>
        <w:widowControl w:val="false"/>
        <w:ind w:firstLine="567" w:left="-567"/>
        <w:jc w:val="both"/>
        <w:rPr>
          <w:highlight w:val="none"/>
          <w:shd w:fill="auto" w:val="clear"/>
        </w:rPr>
      </w:pPr>
      <w:r>
        <w:rPr>
          <w:shd w:fill="auto" w:val="clear"/>
          <w:lang w:bidi="ru-RU"/>
        </w:rPr>
        <w:t>- о перечислении задатка единственного заявителя, признанного участником аукциона,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w:t>
      </w:r>
    </w:p>
    <w:p>
      <w:pPr>
        <w:pStyle w:val="Normal"/>
        <w:widowControl w:val="false"/>
        <w:ind w:firstLine="567" w:left="-567"/>
        <w:jc w:val="both"/>
        <w:rPr>
          <w:highlight w:val="none"/>
          <w:shd w:fill="auto" w:val="clear"/>
        </w:rPr>
      </w:pPr>
      <w:r>
        <w:rPr>
          <w:bCs/>
          <w:shd w:fill="auto" w:val="clear"/>
          <w:lang w:bidi="ru-RU"/>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 14, 20 или 25 ст.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не возвращаются. </w:t>
      </w:r>
    </w:p>
    <w:p>
      <w:pPr>
        <w:pStyle w:val="Normal"/>
        <w:widowControl w:val="false"/>
        <w:spacing w:lineRule="auto" w:line="276"/>
        <w:jc w:val="both"/>
        <w:rPr>
          <w:bCs/>
          <w:highlight w:val="none"/>
          <w:shd w:fill="auto" w:val="clear"/>
          <w:lang w:bidi="ru-RU"/>
        </w:rPr>
      </w:pPr>
      <w:r>
        <w:rPr>
          <w:bCs/>
          <w:shd w:fill="auto" w:val="clear"/>
          <w:lang w:bidi="ru-RU"/>
        </w:rPr>
      </w:r>
    </w:p>
    <w:p>
      <w:pPr>
        <w:pStyle w:val="Normal"/>
        <w:widowControl w:val="false"/>
        <w:jc w:val="center"/>
        <w:rPr>
          <w:highlight w:val="none"/>
          <w:shd w:fill="auto" w:val="clear"/>
        </w:rPr>
      </w:pPr>
      <w:r>
        <w:rPr>
          <w:b/>
          <w:shd w:fill="auto" w:val="clear"/>
        </w:rPr>
        <w:t>Организатор аукциона вправе:</w:t>
      </w:r>
    </w:p>
    <w:p>
      <w:pPr>
        <w:pStyle w:val="Normal"/>
        <w:widowControl w:val="false"/>
        <w:jc w:val="center"/>
        <w:rPr>
          <w:rFonts w:eastAsia="Courier New"/>
          <w:highlight w:val="none"/>
          <w:shd w:fill="auto" w:val="clear"/>
          <w:lang w:bidi="ru-RU"/>
        </w:rPr>
      </w:pPr>
      <w:r>
        <w:rPr>
          <w:rFonts w:eastAsia="Courier New"/>
          <w:shd w:fill="auto" w:val="clear"/>
          <w:lang w:bidi="ru-RU"/>
        </w:rPr>
      </w:r>
    </w:p>
    <w:p>
      <w:pPr>
        <w:pStyle w:val="BodyText"/>
        <w:widowControl w:val="false"/>
        <w:ind w:firstLine="709" w:left="-567"/>
        <w:jc w:val="both"/>
        <w:rPr>
          <w:highlight w:val="none"/>
          <w:shd w:fill="auto" w:val="clear"/>
        </w:rPr>
      </w:pPr>
      <w:r>
        <w:rPr>
          <w:rFonts w:eastAsia="Droid Sans Fallback" w:cs="Lohit Devanagari"/>
          <w:color w:val="000000"/>
          <w:sz w:val="24"/>
          <w:szCs w:val="24"/>
          <w:shd w:fill="auto" w:val="clear"/>
          <w:lang w:val="ru-RU" w:eastAsia="zh-CN" w:bidi="ar-SA"/>
        </w:rPr>
        <w:t xml:space="preserve">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 19 ст.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w:t>
      </w:r>
      <w:r>
        <w:rPr>
          <w:rFonts w:eastAsia="Droid Sans Fallback" w:cs="Lohit Devanagari"/>
          <w:b w:val="false"/>
          <w:color w:val="000000"/>
          <w:sz w:val="24"/>
          <w:szCs w:val="24"/>
          <w:shd w:fill="auto" w:val="clear"/>
          <w:lang w:val="ru-RU" w:eastAsia="zh-CN" w:bidi="ar-SA"/>
        </w:rPr>
        <w:t xml:space="preserve">Информация о внесении изменений в извещение о проведении аукциона размещается на официальных сайтах </w:t>
      </w:r>
      <w:r>
        <w:rPr>
          <w:rFonts w:eastAsia="Droid Sans Fallback" w:cs="Lohit Devanagari"/>
          <w:b w:val="false"/>
          <w:bCs/>
          <w:color w:val="000000"/>
          <w:sz w:val="24"/>
          <w:szCs w:val="24"/>
          <w:shd w:fill="auto" w:val="clear"/>
          <w:lang w:val="ru-RU" w:eastAsia="zh-CN" w:bidi="ar-SA"/>
        </w:rPr>
        <w:t>www.torgi.gov.ru,  www.gorodperm.ru.</w:t>
      </w:r>
    </w:p>
    <w:p>
      <w:pPr>
        <w:pStyle w:val="BodyText"/>
        <w:widowControl w:val="false"/>
        <w:ind w:firstLine="709" w:left="-567"/>
        <w:jc w:val="both"/>
        <w:rPr>
          <w:highlight w:val="none"/>
          <w:shd w:fill="auto" w:val="clear"/>
        </w:rPr>
      </w:pPr>
      <w:r>
        <w:rPr>
          <w:rFonts w:eastAsia="Droid Sans Fallback" w:cs="Lohit Devanagari"/>
          <w:b w:val="false"/>
          <w:color w:val="000000"/>
          <w:sz w:val="24"/>
          <w:szCs w:val="24"/>
          <w:shd w:fill="auto" w:val="clear"/>
          <w:lang w:val="ru-RU" w:eastAsia="zh-CN" w:bidi="ar-SA"/>
        </w:rPr>
        <w:t>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 22.1  ст. 39.11 Земельного кодекса Российской Федерации.</w:t>
      </w:r>
    </w:p>
    <w:p>
      <w:pPr>
        <w:pStyle w:val="Normal"/>
        <w:widowControl w:val="false"/>
        <w:ind w:firstLine="567" w:left="-567"/>
        <w:jc w:val="both"/>
        <w:rPr/>
      </w:pPr>
      <w:r>
        <w:rPr>
          <w:shd w:fill="auto" w:val="clear"/>
        </w:rPr>
        <w:t xml:space="preserve">В соответствии с п. 4 ст. 448 Гражданского кодекса Российской Федерации отказаться </w:t>
      </w:r>
      <w:r>
        <w:rPr/>
        <w:br w:type="textWrapping" w:clear="all"/>
      </w:r>
      <w:r>
        <w:rPr/>
        <w:t xml:space="preserve">от проведения аукциона в любое время, но не позднее чем за три дня до наступления даты </w:t>
      </w:r>
      <w:r>
        <w:rPr/>
        <w:br w:type="textWrapping" w:clear="all"/>
      </w:r>
      <w:r>
        <w:rPr/>
        <w:t xml:space="preserve">его проведения, указанной в извещении </w:t>
      </w:r>
      <w:r>
        <w:rPr>
          <w:shd w:fill="auto" w:val="clear"/>
        </w:rPr>
        <w:t xml:space="preserve">о проведении аукциона. </w:t>
      </w:r>
    </w:p>
    <w:p>
      <w:pPr>
        <w:pStyle w:val="Normal"/>
        <w:widowControl w:val="false"/>
        <w:ind w:firstLine="567" w:left="-567"/>
        <w:jc w:val="both"/>
        <w:rPr>
          <w:highlight w:val="none"/>
          <w:shd w:fill="auto" w:val="clear"/>
        </w:rPr>
      </w:pPr>
      <w:r>
        <w:rPr>
          <w:shd w:fill="auto" w:val="clear"/>
        </w:rPr>
      </w:r>
    </w:p>
    <w:p>
      <w:pPr>
        <w:pStyle w:val="Normal"/>
        <w:widowControl w:val="false"/>
        <w:jc w:val="center"/>
        <w:rPr>
          <w:highlight w:val="none"/>
          <w:shd w:fill="auto" w:val="clear"/>
        </w:rPr>
      </w:pPr>
      <w:r>
        <w:rPr>
          <w:b/>
          <w:shd w:fill="auto" w:val="clear"/>
        </w:rPr>
        <w:t xml:space="preserve">Организатор аукциона обязан:  </w:t>
      </w:r>
    </w:p>
    <w:p>
      <w:pPr>
        <w:pStyle w:val="Normal"/>
        <w:widowControl w:val="false"/>
        <w:ind w:firstLine="567" w:left="-567"/>
        <w:jc w:val="both"/>
        <w:rPr>
          <w:highlight w:val="none"/>
          <w:shd w:fill="auto" w:val="clear"/>
        </w:rPr>
      </w:pPr>
      <w:r>
        <w:rPr>
          <w:shd w:fill="auto" w:val="clear"/>
        </w:rPr>
      </w:r>
    </w:p>
    <w:p>
      <w:pPr>
        <w:pStyle w:val="Normal"/>
        <w:widowControl w:val="false"/>
        <w:ind w:firstLine="567" w:left="-567"/>
        <w:jc w:val="both"/>
        <w:rPr>
          <w:highlight w:val="none"/>
          <w:shd w:fill="auto" w:val="clear"/>
        </w:rPr>
      </w:pPr>
      <w:r>
        <w:rPr>
          <w:shd w:fill="auto" w:val="clear"/>
        </w:rPr>
        <w:t xml:space="preserve">Принять решение об отказе в проведении аукциона в случае выявления обстоятельств, предусмотренных п. 8 ст. 39.11 Земельного кодекса Российской Федерации. </w:t>
      </w:r>
    </w:p>
    <w:p>
      <w:pPr>
        <w:pStyle w:val="Normal"/>
        <w:widowControl w:val="false"/>
        <w:ind w:firstLine="567" w:left="-567"/>
        <w:jc w:val="both"/>
        <w:rPr>
          <w:highlight w:val="none"/>
          <w:shd w:fill="auto" w:val="clear"/>
        </w:rPr>
      </w:pPr>
      <w:r>
        <w:rPr>
          <w:shd w:fill="auto" w:val="clear"/>
        </w:rPr>
        <w:t xml:space="preserve">Извещение об отказе в проведении аукциона размещается организатором аукциона на официальных сайтах  </w:t>
      </w:r>
      <w:r>
        <w:rPr>
          <w:rFonts w:eastAsia="Droid Sans Fallback" w:cs="Lohit Devanagari"/>
          <w:b w:val="false"/>
          <w:bCs/>
          <w:color w:val="000000"/>
          <w:sz w:val="24"/>
          <w:szCs w:val="24"/>
          <w:shd w:fill="auto" w:val="clear"/>
          <w:lang w:val="ru-RU" w:eastAsia="zh-CN" w:bidi="ar-SA"/>
        </w:rPr>
        <w:t xml:space="preserve">www.torgi.gov.ru,  www.gorodperm.ru </w:t>
      </w:r>
      <w:r>
        <w:rPr>
          <w:shd w:fill="auto" w:val="clear"/>
        </w:rPr>
        <w:t xml:space="preserve"> и на электронной площадке в течение трех дней со дня принятия данного решения.</w:t>
      </w:r>
    </w:p>
    <w:p>
      <w:pPr>
        <w:pStyle w:val="Normal"/>
        <w:widowControl w:val="false"/>
        <w:ind w:firstLine="567" w:left="-567"/>
        <w:jc w:val="both"/>
        <w:rPr>
          <w:highlight w:val="none"/>
          <w:shd w:fill="auto" w:val="clear"/>
        </w:rPr>
      </w:pPr>
      <w:r>
        <w:rPr>
          <w:shd w:fill="auto" w:val="clear"/>
        </w:rPr>
        <w:t>В течение трех дней со дня принятия решения об отказе в проведении аукциона участники аукциона извещаются об отказе в проведении аукциона, внесенные задатки возвращаются его участникам.</w:t>
      </w:r>
    </w:p>
    <w:p>
      <w:pPr>
        <w:pStyle w:val="Normal"/>
        <w:widowControl w:val="false"/>
        <w:ind w:firstLine="567" w:left="-567"/>
        <w:jc w:val="both"/>
        <w:rPr>
          <w:highlight w:val="none"/>
          <w:shd w:fill="auto" w:val="clear"/>
        </w:rPr>
      </w:pPr>
      <w:r>
        <w:rPr>
          <w:shd w:fill="auto" w:val="clear"/>
        </w:rPr>
        <w:t>В случае отказа от проведения аукциона организатором (в т. ч. одного или нескольких лотов)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w:t>
      </w:r>
    </w:p>
    <w:p>
      <w:pPr>
        <w:pStyle w:val="Normal"/>
        <w:widowControl w:val="false"/>
        <w:jc w:val="both"/>
        <w:rPr>
          <w:highlight w:val="none"/>
          <w:shd w:fill="auto" w:val="clear"/>
        </w:rPr>
      </w:pPr>
      <w:r>
        <w:rPr>
          <w:shd w:fill="auto" w:val="clear"/>
        </w:rPr>
      </w:r>
    </w:p>
    <w:p>
      <w:pPr>
        <w:pStyle w:val="Normal"/>
        <w:widowControl w:val="false"/>
        <w:ind w:left="502"/>
        <w:jc w:val="center"/>
        <w:rPr>
          <w:highlight w:val="none"/>
          <w:shd w:fill="auto" w:val="clear"/>
        </w:rPr>
      </w:pPr>
      <w:r>
        <w:rPr>
          <w:rFonts w:eastAsia="Courier New"/>
          <w:b/>
          <w:shd w:fill="auto" w:val="clear"/>
          <w:lang w:bidi="ru-RU"/>
        </w:rPr>
        <w:t>Порядок регистрации на электронной площадке</w:t>
      </w:r>
    </w:p>
    <w:p>
      <w:pPr>
        <w:pStyle w:val="Normal"/>
        <w:widowControl w:val="false"/>
        <w:ind w:firstLine="709" w:left="-567"/>
        <w:jc w:val="both"/>
        <w:rPr>
          <w:rFonts w:eastAsia="Courier New"/>
          <w:b/>
          <w:bCs/>
          <w:highlight w:val="none"/>
          <w:shd w:fill="auto" w:val="clear"/>
          <w:lang w:bidi="ru-RU"/>
        </w:rPr>
      </w:pPr>
      <w:r>
        <w:rPr>
          <w:rFonts w:eastAsia="Courier New"/>
          <w:b/>
          <w:bCs/>
          <w:shd w:fill="auto" w:val="clear"/>
          <w:lang w:bidi="ru-RU"/>
        </w:rPr>
      </w:r>
    </w:p>
    <w:p>
      <w:pPr>
        <w:pStyle w:val="Normal"/>
        <w:widowControl w:val="false"/>
        <w:ind w:firstLine="567" w:left="-567"/>
        <w:jc w:val="both"/>
        <w:rPr>
          <w:highlight w:val="none"/>
          <w:shd w:fill="auto" w:val="clear"/>
        </w:rPr>
      </w:pPr>
      <w:r>
        <w:rPr>
          <w:bCs/>
          <w:shd w:fill="auto" w:val="clear"/>
          <w:lang w:bidi="ru-RU"/>
        </w:rPr>
        <w:t>Для обеспечения доступа к участию в аукционе заявителю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pPr>
        <w:pStyle w:val="Normal"/>
        <w:widowControl w:val="false"/>
        <w:ind w:firstLine="567" w:left="-567"/>
        <w:jc w:val="both"/>
        <w:rPr>
          <w:highlight w:val="none"/>
          <w:shd w:fill="auto" w:val="clear"/>
        </w:rPr>
      </w:pPr>
      <w:r>
        <w:rPr>
          <w:bCs/>
          <w:shd w:fill="auto" w:val="clear"/>
          <w:lang w:bidi="ru-RU"/>
        </w:rPr>
        <w:t>Регистрация на электронной площадке проводится в соответствии с регламентом электронной площадки.</w:t>
      </w:r>
    </w:p>
    <w:p>
      <w:pPr>
        <w:pStyle w:val="Normal"/>
        <w:widowControl w:val="false"/>
        <w:ind w:firstLine="567" w:left="-567"/>
        <w:jc w:val="both"/>
        <w:rPr>
          <w:highlight w:val="none"/>
          <w:shd w:fill="auto" w:val="clear"/>
        </w:rPr>
      </w:pPr>
      <w:r>
        <w:rPr>
          <w:bCs/>
          <w:shd w:fill="auto" w:val="clear"/>
          <w:lang w:bidi="ru-RU"/>
        </w:rPr>
        <w:t xml:space="preserve">Дата и время регистрации участников аукциона на участие в аукционе на электронной площадке на сайте в сети Интернет: c 01.11.2025 по 02.12.2025 с 9.00 до 18.00 по местному времени (7:00 – 16:00 МСК). </w:t>
      </w:r>
    </w:p>
    <w:p>
      <w:pPr>
        <w:pStyle w:val="NormalWeb"/>
        <w:jc w:val="center"/>
        <w:rPr>
          <w:highlight w:val="none"/>
          <w:shd w:fill="auto" w:val="clear"/>
        </w:rPr>
      </w:pPr>
      <w:r>
        <w:rPr>
          <w:b/>
          <w:color w:val="000000"/>
          <w:shd w:fill="auto" w:val="clear"/>
        </w:rPr>
        <w:t>Разъяснение положений извещения о проведении аукциона</w:t>
      </w:r>
    </w:p>
    <w:p>
      <w:pPr>
        <w:pStyle w:val="ListParagraph"/>
        <w:widowControl w:val="false"/>
        <w:ind w:firstLine="567" w:left="-567"/>
        <w:jc w:val="both"/>
        <w:rPr>
          <w:highlight w:val="none"/>
          <w:shd w:fill="auto" w:val="clear"/>
        </w:rPr>
      </w:pPr>
      <w:r>
        <w:rPr>
          <w:bCs/>
          <w:shd w:fill="auto" w:val="clear"/>
          <w:lang w:bidi="ru-RU"/>
        </w:rPr>
        <w:t xml:space="preserve">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 Запросы о разъяснении положений извещения, полученные после вышеуказанного срока, </w:t>
        <w:br/>
        <w:t>не рассматриваются.</w:t>
      </w:r>
    </w:p>
    <w:p>
      <w:pPr>
        <w:pStyle w:val="ListParagraph"/>
        <w:widowControl w:val="false"/>
        <w:ind w:firstLine="567" w:left="-567"/>
        <w:jc w:val="both"/>
        <w:rPr>
          <w:highlight w:val="none"/>
          <w:shd w:fill="auto" w:val="clear"/>
        </w:rPr>
      </w:pPr>
      <w:r>
        <w:rPr>
          <w:bCs/>
          <w:shd w:fill="auto" w:val="clear"/>
          <w:lang w:bidi="ru-RU"/>
        </w:rPr>
        <w:t xml:space="preserve">Ответ на запрос о разъяснении положений извещения должен быть подготовлен в течение трех рабочих дней со дня поступления указанного запроса.  </w:t>
      </w:r>
    </w:p>
    <w:p>
      <w:pPr>
        <w:pStyle w:val="Normal"/>
        <w:widowControl w:val="false"/>
        <w:spacing w:lineRule="auto" w:line="276"/>
        <w:ind w:firstLine="709" w:left="-567"/>
        <w:jc w:val="both"/>
        <w:rPr>
          <w:bCs/>
          <w:highlight w:val="none"/>
          <w:shd w:fill="auto" w:val="clear"/>
          <w:lang w:bidi="ru-RU"/>
        </w:rPr>
      </w:pPr>
      <w:r>
        <w:rPr>
          <w:bCs/>
          <w:shd w:fill="auto" w:val="clear"/>
          <w:lang w:bidi="ru-RU"/>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Требования к содержанию и составу заявки на участие в аукционе</w:t>
      </w:r>
    </w:p>
    <w:p>
      <w:pPr>
        <w:pStyle w:val="Normal"/>
        <w:numPr>
          <w:ilvl w:val="0"/>
          <w:numId w:val="0"/>
        </w:numPr>
        <w:tabs>
          <w:tab w:val="clear" w:pos="708"/>
          <w:tab w:val="center" w:pos="5076" w:leader="none"/>
        </w:tabs>
        <w:ind w:hanging="0" w:left="0"/>
        <w:jc w:val="center"/>
        <w:outlineLvl w:val="0"/>
        <w:rPr>
          <w:b/>
          <w:bCs/>
          <w:highlight w:val="none"/>
          <w:shd w:fill="auto" w:val="clear"/>
        </w:rPr>
      </w:pPr>
      <w:r>
        <w:rPr>
          <w:b/>
          <w:bCs/>
          <w:shd w:fill="auto" w:val="clear"/>
        </w:rPr>
      </w:r>
    </w:p>
    <w:p>
      <w:pPr>
        <w:pStyle w:val="Normal"/>
        <w:widowControl w:val="false"/>
        <w:ind w:firstLine="567" w:left="-567"/>
        <w:jc w:val="both"/>
        <w:rPr>
          <w:highlight w:val="none"/>
          <w:shd w:fill="auto" w:val="clear"/>
        </w:rPr>
      </w:pPr>
      <w:r>
        <w:rPr>
          <w:rFonts w:eastAsia="Courier New"/>
          <w:shd w:fill="auto" w:val="clear"/>
          <w:lang w:bidi="ru-RU"/>
        </w:rPr>
        <w:t xml:space="preserve">Для участия в аукционе заявители представляют в установленный в извещении </w:t>
      </w:r>
      <w:r>
        <w:rPr>
          <w:rFonts w:eastAsia="Courier New"/>
          <w:shd w:fill="auto" w:val="clear"/>
          <w:lang w:bidi="ru-RU"/>
        </w:rPr>
        <w:br w:type="textWrapping" w:clear="all"/>
      </w:r>
      <w:r>
        <w:rPr>
          <w:rFonts w:eastAsia="Courier New"/>
          <w:shd w:fill="auto" w:val="clear"/>
          <w:lang w:bidi="ru-RU"/>
        </w:rPr>
        <w:t>о проведении аукциона срок следующие документы:</w:t>
      </w:r>
    </w:p>
    <w:p>
      <w:pPr>
        <w:pStyle w:val="Normal"/>
        <w:jc w:val="both"/>
        <w:rPr>
          <w:highlight w:val="none"/>
          <w:shd w:fill="auto" w:val="clear"/>
        </w:rPr>
      </w:pPr>
      <w:r>
        <w:rPr>
          <w:rFonts w:eastAsia="Calibri"/>
          <w:shd w:fill="auto" w:val="clear"/>
        </w:rPr>
        <w:t>1) копии документов, удостоверяющих личность заявителя (для граждан), всех страниц;</w:t>
      </w:r>
    </w:p>
    <w:p>
      <w:pPr>
        <w:pStyle w:val="Normal"/>
        <w:ind w:firstLine="567" w:left="-567"/>
        <w:jc w:val="both"/>
        <w:rPr>
          <w:highlight w:val="none"/>
          <w:shd w:fill="auto" w:val="clear"/>
        </w:rPr>
      </w:pPr>
      <w:r>
        <w:rPr>
          <w:rFonts w:eastAsia="Calibri"/>
          <w:shd w:fill="auto" w:val="clear"/>
        </w:rPr>
        <w:t xml:space="preserve">2) надлежащим образом заверенный перевод на русский язык документов </w:t>
      </w:r>
      <w:r>
        <w:rPr>
          <w:rFonts w:eastAsia="Calibri"/>
          <w:shd w:fill="auto" w:val="clear"/>
        </w:rPr>
        <w:br w:type="textWrapping" w:clear="all"/>
      </w:r>
      <w:r>
        <w:rPr>
          <w:rFonts w:eastAsia="Calibri"/>
          <w:shd w:fill="auto" w:val="clear"/>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jc w:val="both"/>
        <w:rPr>
          <w:highlight w:val="none"/>
          <w:shd w:fill="auto" w:val="clear"/>
        </w:rPr>
      </w:pPr>
      <w:r>
        <w:rPr>
          <w:rFonts w:eastAsia="Calibri"/>
          <w:shd w:fill="auto" w:val="clear"/>
        </w:rPr>
        <w:t>3) документы, подтверждающие внесение задатка.</w:t>
      </w:r>
    </w:p>
    <w:p>
      <w:pPr>
        <w:pStyle w:val="Normal"/>
        <w:jc w:val="both"/>
        <w:rPr>
          <w:rFonts w:eastAsia="Calibri"/>
          <w:highlight w:val="none"/>
          <w:shd w:fill="auto" w:val="clear"/>
        </w:rPr>
      </w:pPr>
      <w:r>
        <w:rPr>
          <w:rFonts w:eastAsia="Calibri"/>
          <w:shd w:fill="auto" w:val="clear"/>
        </w:rPr>
      </w:r>
    </w:p>
    <w:p>
      <w:pPr>
        <w:pStyle w:val="Normal"/>
        <w:ind w:firstLine="708"/>
        <w:jc w:val="center"/>
        <w:rPr>
          <w:highlight w:val="none"/>
          <w:shd w:fill="auto" w:val="clear"/>
        </w:rPr>
      </w:pPr>
      <w:r>
        <w:rPr>
          <w:b/>
          <w:shd w:fill="auto" w:val="clear"/>
        </w:rPr>
        <w:t>Инструкция по заполнению и подаче заявки, порядок приема заявки</w:t>
      </w:r>
    </w:p>
    <w:p>
      <w:pPr>
        <w:pStyle w:val="Normal"/>
        <w:ind w:firstLine="708"/>
        <w:jc w:val="center"/>
        <w:rPr>
          <w:b/>
          <w:highlight w:val="none"/>
          <w:shd w:fill="auto" w:val="clear"/>
        </w:rPr>
      </w:pPr>
      <w:r>
        <w:rPr>
          <w:b/>
          <w:shd w:fill="auto" w:val="clear"/>
        </w:rPr>
      </w:r>
    </w:p>
    <w:p>
      <w:pPr>
        <w:pStyle w:val="Normal"/>
        <w:ind w:firstLine="567" w:left="-567"/>
        <w:jc w:val="both"/>
        <w:rPr>
          <w:highlight w:val="none"/>
          <w:shd w:fill="auto" w:val="clear"/>
        </w:rPr>
      </w:pPr>
      <w:r>
        <w:rPr>
          <w:shd w:fill="auto" w:val="clear"/>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(копии </w:t>
      </w:r>
      <w:r>
        <w:rPr>
          <w:b w:val="false"/>
          <w:shd w:fill="auto" w:val="clear"/>
        </w:rPr>
        <w:t xml:space="preserve">документов, удостоверяющих личность заявителя (для граждан); </w:t>
      </w:r>
      <w:r>
        <w:rPr>
          <w:b w:val="false"/>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w:t>
      </w:r>
    </w:p>
    <w:p>
      <w:pPr>
        <w:pStyle w:val="Normal"/>
        <w:ind w:firstLine="567" w:left="-567"/>
        <w:jc w:val="both"/>
        <w:rPr>
          <w:highlight w:val="none"/>
          <w:shd w:fill="auto" w:val="clear"/>
        </w:rPr>
      </w:pPr>
      <w:r>
        <w:rPr>
          <w:shd w:fill="auto" w:val="clear"/>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ind w:firstLine="567" w:left="-567"/>
        <w:jc w:val="both"/>
        <w:rPr>
          <w:highlight w:val="none"/>
        </w:rPr>
      </w:pPr>
      <w:r>
        <w:rPr>
          <w:sz w:val="24"/>
          <w:szCs w:val="24"/>
        </w:rPr>
        <w:t>На каждый лот представляется отдельный пакет документов.</w:t>
      </w:r>
    </w:p>
    <w:p>
      <w:pPr>
        <w:pStyle w:val="Normal"/>
        <w:ind w:firstLine="567" w:left="-567"/>
        <w:jc w:val="both"/>
        <w:rPr>
          <w:highlight w:val="none"/>
          <w:shd w:fill="auto" w:val="clear"/>
        </w:rPr>
      </w:pPr>
      <w:r>
        <w:rPr>
          <w:shd w:fill="auto" w:val="clear"/>
        </w:rPr>
        <w:t>Заполнение заявки осуществляется в соответствии с порядком, определенным регламентом электронной площадки АО «Сбербанк-АСТ».</w:t>
      </w:r>
    </w:p>
    <w:p>
      <w:pPr>
        <w:pStyle w:val="Normal"/>
        <w:ind w:firstLine="567" w:left="-567"/>
        <w:jc w:val="both"/>
        <w:rPr>
          <w:highlight w:val="none"/>
          <w:shd w:fill="auto" w:val="clear"/>
        </w:rPr>
      </w:pPr>
      <w:r>
        <w:rPr>
          <w:shd w:fill="auto" w:val="clear"/>
        </w:rPr>
        <w:t>Все документы и сведения, связанные с получением регистрации на универсальной торговой платформе и проведением закупок/продаж, направляются заявителями, пользователями, оператором электронной площадки либо размещаются ими на универсальной торговой платформе в форме электронных документов (п. 10.1.1. Регламента Универсальной торговой платформы).</w:t>
      </w:r>
    </w:p>
    <w:p>
      <w:pPr>
        <w:pStyle w:val="Normal"/>
        <w:ind w:firstLine="567" w:left="-567"/>
        <w:jc w:val="both"/>
        <w:rPr>
          <w:highlight w:val="none"/>
          <w:shd w:fill="auto" w:val="clear"/>
        </w:rPr>
      </w:pPr>
      <w:r>
        <w:rPr>
          <w:shd w:fill="auto" w:val="clear"/>
        </w:rPr>
        <w:t>Пользователи принимают, что в случае наличия требований к формату и содержанию электронного документа, в системе используются электронные документы установленного формата (п. 10.2.3.</w:t>
      </w:r>
      <w:r>
        <w:rPr>
          <w:rFonts w:eastAsia="Droid Sans Fallback" w:cs="Lohit Devanagari"/>
          <w:color w:val="000000"/>
          <w:kern w:val="0"/>
          <w:sz w:val="24"/>
          <w:szCs w:val="24"/>
          <w:shd w:fill="auto" w:val="clear"/>
          <w:lang w:val="ru-RU" w:eastAsia="zh-CN" w:bidi="ar-SA"/>
        </w:rPr>
        <w:t xml:space="preserve"> Регламента Универсальной торговой платформы).</w:t>
      </w:r>
    </w:p>
    <w:p>
      <w:pPr>
        <w:pStyle w:val="Normal"/>
        <w:ind w:firstLine="567" w:left="-567"/>
        <w:jc w:val="both"/>
        <w:rPr>
          <w:highlight w:val="none"/>
          <w:shd w:fill="auto" w:val="clear"/>
        </w:rPr>
      </w:pPr>
      <w:r>
        <w:rPr>
          <w:rFonts w:eastAsia="Droid Sans Fallback" w:cs="Lohit Devanagari"/>
          <w:color w:val="000000"/>
          <w:kern w:val="0"/>
          <w:sz w:val="24"/>
          <w:szCs w:val="24"/>
          <w:shd w:fill="auto" w:val="clear"/>
          <w:lang w:val="ru-RU" w:eastAsia="zh-CN" w:bidi="ar-SA"/>
        </w:rPr>
        <w:t>Заявка подается в виде электронного документа, подписанного электронной подписью заявителя (п. 3.2.2. Регламента торговой секции).</w:t>
      </w:r>
    </w:p>
    <w:p>
      <w:pPr>
        <w:pStyle w:val="Normal"/>
        <w:ind w:firstLine="567" w:left="-567"/>
        <w:jc w:val="both"/>
        <w:rPr>
          <w:highlight w:val="none"/>
          <w:shd w:fill="auto" w:val="clear"/>
        </w:rPr>
      </w:pPr>
      <w:r>
        <w:rPr>
          <w:rFonts w:eastAsia="Droid Sans Fallback" w:cs="Lohit Devanagari"/>
          <w:color w:val="000000"/>
          <w:kern w:val="0"/>
          <w:sz w:val="24"/>
          <w:szCs w:val="24"/>
          <w:shd w:fill="auto" w:val="clear"/>
          <w:lang w:val="ru-RU" w:eastAsia="zh-CN" w:bidi="ar-SA"/>
        </w:rPr>
        <w:t>Заявитель заполняет электронную форму заявки, при</w:t>
      </w:r>
      <w:r>
        <w:rPr>
          <w:shd w:fill="auto" w:val="clear"/>
        </w:rPr>
        <w:t>кладывает предусмотренные извещением о проведении аукциона файлы документов (при необходимости). Документы и сведения из регистрационных данных заявителя на универсальной торговой платформе, актуальные на дату и время окончания приема заявок, направляются оператором электронной площадки вместе с заявкой организатору аукциона после окончания приема заявок (п. 3.2.3. Регламента торговой секции).</w:t>
      </w:r>
    </w:p>
    <w:p>
      <w:pPr>
        <w:pStyle w:val="Normal"/>
        <w:ind w:firstLine="567" w:left="-567"/>
        <w:jc w:val="both"/>
        <w:rPr>
          <w:highlight w:val="none"/>
          <w:shd w:fill="auto" w:val="clear"/>
        </w:rPr>
      </w:pPr>
      <w:r>
        <w:rPr>
          <w:shd w:fill="auto" w:val="clear"/>
        </w:rPr>
        <w:t xml:space="preserve">Подача заявки осуществляется заявителем, зарегистрированным в торговой секции, </w:t>
      </w:r>
      <w:r>
        <w:rPr>
          <w:shd w:fill="auto" w:val="clear"/>
        </w:rPr>
        <w:br w:type="textWrapping" w:clear="all"/>
      </w:r>
      <w:r>
        <w:rPr>
          <w:shd w:fill="auto" w:val="clear"/>
        </w:rPr>
        <w:t>из личного кабинета посредством штатного интерфейса отдельно по каждому лоту в сроки, установленные в извещении о проведении аукциона.</w:t>
      </w:r>
    </w:p>
    <w:p>
      <w:pPr>
        <w:pStyle w:val="Normal"/>
        <w:ind w:firstLine="567" w:left="-567"/>
        <w:jc w:val="both"/>
        <w:rPr>
          <w:highlight w:val="none"/>
          <w:shd w:fill="auto" w:val="clear"/>
        </w:rPr>
      </w:pPr>
      <w:r>
        <w:rPr>
          <w:shd w:fill="auto" w:val="clear"/>
        </w:rPr>
        <w:t xml:space="preserve">Заявитель вправе подать заявку в любое время с момента размещения извещения </w:t>
      </w:r>
      <w:r>
        <w:rPr>
          <w:shd w:fill="auto" w:val="clear"/>
        </w:rPr>
        <w:br w:type="textWrapping" w:clear="all"/>
      </w:r>
      <w:r>
        <w:rPr>
          <w:shd w:fill="auto" w:val="clear"/>
        </w:rPr>
        <w:t>о проведении аукциона до предусмотренных указанным извещением даты и времени окончания срока подачи заявок.</w:t>
      </w:r>
    </w:p>
    <w:p>
      <w:pPr>
        <w:pStyle w:val="Normal"/>
        <w:ind w:firstLine="567" w:left="-567"/>
        <w:jc w:val="both"/>
        <w:rPr>
          <w:highlight w:val="none"/>
          <w:shd w:fill="auto" w:val="clear"/>
        </w:rPr>
      </w:pPr>
      <w:r>
        <w:rPr>
          <w:shd w:fill="auto" w:val="clear"/>
        </w:rPr>
        <w:t>Один заявитель вправе подать только одну заявку на участие в аукционе в отношении каждого лота.</w:t>
      </w:r>
    </w:p>
    <w:p>
      <w:pPr>
        <w:pStyle w:val="Normal"/>
        <w:ind w:firstLine="567" w:left="-567"/>
        <w:jc w:val="both"/>
        <w:rPr>
          <w:highlight w:val="none"/>
          <w:shd w:fill="auto" w:val="clear"/>
        </w:rPr>
      </w:pPr>
      <w:r>
        <w:rPr>
          <w:shd w:fill="auto" w:val="clear"/>
        </w:rPr>
        <w:t>Заявка на участие в аукционе, поступившая по истечении срока приема заявок, возвращается заявителю в день ее поступления.</w:t>
      </w:r>
    </w:p>
    <w:p>
      <w:pPr>
        <w:pStyle w:val="Normal"/>
        <w:ind w:firstLine="567" w:left="-567"/>
        <w:jc w:val="both"/>
        <w:rPr>
          <w:highlight w:val="none"/>
          <w:shd w:fill="auto" w:val="clear"/>
        </w:rPr>
      </w:pPr>
      <w:r>
        <w:rPr>
          <w:shd w:fill="auto" w:val="clear"/>
        </w:rPr>
        <w:t xml:space="preserve">Участие в аукционе возможно при наличии на лицевом счете заявителя денежных средств </w:t>
      </w:r>
      <w:r>
        <w:rPr>
          <w:shd w:fill="auto" w:val="clear"/>
        </w:rPr>
        <w:br w:type="textWrapping" w:clear="all"/>
      </w:r>
      <w:r>
        <w:rPr>
          <w:shd w:fill="auto" w:val="clear"/>
        </w:rPr>
        <w:t xml:space="preserve">в размере не менее чем размер задатка на участие в аукционе, предусмотренный извещением </w:t>
      </w:r>
      <w:r>
        <w:rPr>
          <w:shd w:fill="auto" w:val="clear"/>
        </w:rPr>
        <w:br w:type="textWrapping" w:clear="all"/>
      </w:r>
      <w:r>
        <w:rPr>
          <w:shd w:fill="auto" w:val="clear"/>
        </w:rPr>
        <w:t>о проведении аукциона.</w:t>
      </w:r>
    </w:p>
    <w:p>
      <w:pPr>
        <w:pStyle w:val="Normal"/>
        <w:ind w:firstLine="567" w:left="-567"/>
        <w:jc w:val="both"/>
        <w:rPr>
          <w:highlight w:val="none"/>
          <w:shd w:fill="auto" w:val="clear"/>
        </w:rPr>
      </w:pPr>
      <w:r>
        <w:rPr>
          <w:shd w:fill="auto" w:val="clear"/>
        </w:rPr>
        <w:t>Все документы, входящие в состав заявки, должны иметь четко читаемый текст.</w:t>
      </w:r>
    </w:p>
    <w:p>
      <w:pPr>
        <w:pStyle w:val="Normal"/>
        <w:ind w:firstLine="567" w:left="-567"/>
        <w:jc w:val="both"/>
        <w:rPr>
          <w:highlight w:val="none"/>
          <w:shd w:fill="auto" w:val="clear"/>
        </w:rPr>
      </w:pPr>
      <w:r>
        <w:rPr>
          <w:shd w:fill="auto" w:val="clear"/>
        </w:rPr>
        <w:t>Заявка предоставляется организатору аукциона через Оператора.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Заявка не может быть принята Оператором в случае:</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а) отсутствия на лицевом счете заявителя достаточной суммы денежных средств </w:t>
      </w:r>
      <w:r>
        <w:rPr>
          <w:bCs/>
          <w:shd w:fill="auto" w:val="clear"/>
        </w:rPr>
        <w:br w:type="textWrapping" w:clear="all"/>
      </w:r>
      <w:r>
        <w:rPr>
          <w:bCs/>
          <w:shd w:fill="auto" w:val="clear"/>
        </w:rPr>
        <w:t>в размере задатка;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б) подачи заявителем второй заявки на участие в отношении одного и того же лота при условии, что поданная ранее заявка таким заявителем не отозвана;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в) подачи заявки по истечении установленного срока подачи заявок;</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г) некорректного заполнения формы заявки, в том числе незаполнения полей, являющихся обязательными для заполнения.</w:t>
      </w:r>
    </w:p>
    <w:p>
      <w:pPr>
        <w:pStyle w:val="Normal"/>
        <w:numPr>
          <w:ilvl w:val="0"/>
          <w:numId w:val="0"/>
        </w:numPr>
        <w:tabs>
          <w:tab w:val="clear" w:pos="708"/>
          <w:tab w:val="center" w:pos="284" w:leader="none"/>
        </w:tabs>
        <w:ind w:firstLine="567" w:left="-567"/>
        <w:jc w:val="both"/>
        <w:outlineLvl w:val="0"/>
        <w:rPr>
          <w:highlight w:val="none"/>
          <w:shd w:fill="auto" w:val="clear"/>
        </w:rPr>
      </w:pPr>
      <w:r>
        <w:rPr>
          <w:bCs/>
          <w:shd w:fill="auto" w:val="clear"/>
        </w:rPr>
        <w:t xml:space="preserve">Заявителям, признанным участниками аукциона, и заявителям, не допущенным к участию </w:t>
        <w:br/>
        <w:t xml:space="preserve">в аукционе, оператор электронной площадки направляет в электронной форме уведомления </w:t>
        <w:br/>
        <w:t xml:space="preserve">о принятых в отношении их решениях не позднее дня, следующего после дня подписания протокола рассмотрения заявок на участие в аукционе. </w:t>
      </w:r>
    </w:p>
    <w:p>
      <w:pPr>
        <w:pStyle w:val="Normal"/>
        <w:numPr>
          <w:ilvl w:val="0"/>
          <w:numId w:val="0"/>
        </w:numPr>
        <w:tabs>
          <w:tab w:val="clear" w:pos="708"/>
          <w:tab w:val="center" w:pos="284" w:leader="none"/>
        </w:tabs>
        <w:spacing w:lineRule="auto" w:line="276"/>
        <w:ind w:firstLine="567" w:left="-567"/>
        <w:jc w:val="both"/>
        <w:outlineLvl w:val="0"/>
        <w:rPr>
          <w:bCs/>
          <w:highlight w:val="none"/>
          <w:shd w:fill="auto" w:val="clear"/>
        </w:rPr>
      </w:pPr>
      <w:r>
        <w:rPr>
          <w:bCs/>
          <w:shd w:fill="auto" w:val="clear"/>
        </w:rPr>
      </w:r>
    </w:p>
    <w:p>
      <w:pPr>
        <w:pStyle w:val="Normal"/>
        <w:widowControl w:val="false"/>
        <w:ind w:left="502"/>
        <w:jc w:val="center"/>
        <w:rPr>
          <w:highlight w:val="none"/>
          <w:shd w:fill="auto" w:val="clear"/>
        </w:rPr>
      </w:pPr>
      <w:r>
        <w:rPr>
          <w:b/>
          <w:bCs/>
          <w:shd w:fill="auto" w:val="clear"/>
          <w:lang w:bidi="ru-RU"/>
        </w:rPr>
        <w:t>Порядок и срок изменения, отзыва заявки на участие в аукционе</w:t>
      </w:r>
    </w:p>
    <w:p>
      <w:pPr>
        <w:pStyle w:val="Normal"/>
        <w:widowControl w:val="false"/>
        <w:ind w:left="502"/>
        <w:rPr>
          <w:b/>
          <w:bCs/>
          <w:highlight w:val="none"/>
          <w:shd w:fill="auto" w:val="clear"/>
          <w:lang w:bidi="ru-RU"/>
        </w:rPr>
      </w:pPr>
      <w:r>
        <w:rPr>
          <w:b/>
          <w:bCs/>
          <w:shd w:fill="auto" w:val="clear"/>
          <w:lang w:bidi="ru-RU"/>
        </w:rPr>
      </w:r>
    </w:p>
    <w:p>
      <w:pPr>
        <w:pStyle w:val="Normal"/>
        <w:widowControl w:val="false"/>
        <w:ind w:firstLine="567" w:left="-567"/>
        <w:jc w:val="both"/>
        <w:rPr>
          <w:highlight w:val="none"/>
          <w:shd w:fill="auto" w:val="clear"/>
        </w:rPr>
      </w:pPr>
      <w:r>
        <w:rPr>
          <w:shd w:fill="auto" w:val="clear"/>
        </w:rPr>
        <w:t xml:space="preserve">Заявитель имеет право отозвать принятую организатором аукциона заявку на участие </w:t>
      </w:r>
      <w:r>
        <w:rPr>
          <w:shd w:fill="auto" w:val="clear"/>
        </w:rPr>
        <w:br w:type="textWrapping" w:clear="all"/>
      </w:r>
      <w:r>
        <w:rPr>
          <w:shd w:fill="auto" w:val="clear"/>
        </w:rPr>
        <w:t xml:space="preserve">в аукционе до дня окончания срока приема заявок, путем направления уведомления об отзыве заявки на электронную площадку. В случае отзыва заявки в установленном порядке, уведомление об отзыве заявки поступает в «личный кабинет» организатора аукциона, о чем заявителю направляется соответствующее уведомление. Заявителю внесенный им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pPr>
        <w:pStyle w:val="Normal"/>
        <w:jc w:val="center"/>
        <w:rPr>
          <w:highlight w:val="none"/>
          <w:shd w:fill="auto" w:val="clear"/>
        </w:rPr>
      </w:pPr>
      <w:r>
        <w:rPr>
          <w:b/>
          <w:bCs/>
          <w:shd w:fill="auto" w:val="clear"/>
        </w:rPr>
        <w:t>Определение участников аукциона</w:t>
      </w:r>
    </w:p>
    <w:p>
      <w:pPr>
        <w:pStyle w:val="Normal"/>
        <w:jc w:val="center"/>
        <w:rPr>
          <w:b/>
          <w:bCs/>
          <w:highlight w:val="none"/>
          <w:shd w:fill="auto" w:val="clear"/>
        </w:rPr>
      </w:pPr>
      <w:r>
        <w:rPr>
          <w:b/>
          <w:bCs/>
          <w:shd w:fill="auto" w:val="clear"/>
        </w:rPr>
      </w:r>
    </w:p>
    <w:p>
      <w:pPr>
        <w:pStyle w:val="Normal"/>
        <w:ind w:firstLine="567" w:left="-567"/>
        <w:jc w:val="both"/>
        <w:rPr>
          <w:highlight w:val="none"/>
          <w:shd w:fill="auto" w:val="clear"/>
        </w:rPr>
      </w:pPr>
      <w:r>
        <w:rPr>
          <w:bCs/>
          <w:shd w:fill="auto" w:val="clear"/>
        </w:rPr>
        <w:t xml:space="preserve">По результатам рассмотрения заявок комиссия принимает решение о допуске заявителей </w:t>
      </w:r>
      <w:r>
        <w:rPr>
          <w:bCs/>
          <w:shd w:fill="auto" w:val="clear"/>
        </w:rPr>
        <w:br w:type="textWrapping" w:clear="all"/>
      </w:r>
      <w:r>
        <w:rPr>
          <w:bCs/>
          <w:shd w:fill="auto" w:val="clear"/>
        </w:rPr>
        <w:t>к участию в аукционе или об отказе в допуске к участию в аукционе.</w:t>
      </w:r>
    </w:p>
    <w:p>
      <w:pPr>
        <w:pStyle w:val="Normal"/>
        <w:jc w:val="both"/>
        <w:rPr>
          <w:highlight w:val="none"/>
          <w:shd w:fill="auto" w:val="clear"/>
        </w:rPr>
      </w:pPr>
      <w:r>
        <w:rPr>
          <w:shd w:fill="auto" w:val="clear"/>
        </w:rPr>
        <w:t>Заявитель не допускается к участию в аукционе в следующих случаях:</w:t>
      </w:r>
    </w:p>
    <w:p>
      <w:pPr>
        <w:pStyle w:val="Normal"/>
        <w:widowControl w:val="false"/>
        <w:ind w:firstLine="567" w:left="-567"/>
        <w:jc w:val="both"/>
        <w:rPr>
          <w:highlight w:val="none"/>
          <w:shd w:fill="auto" w:val="clear"/>
        </w:rPr>
      </w:pPr>
      <w:r>
        <w:rPr>
          <w:sz w:val="20"/>
          <w:shd w:fill="auto" w:val="clear"/>
        </w:rPr>
        <w:t xml:space="preserve">1) </w:t>
      </w:r>
      <w:r>
        <w:rPr>
          <w:shd w:fill="auto" w:val="clear"/>
        </w:rPr>
        <w:t>непредставление необходимых для участия в аукционе документов или представление недостоверных сведений;</w:t>
      </w:r>
    </w:p>
    <w:p>
      <w:pPr>
        <w:pStyle w:val="Normal"/>
        <w:widowControl w:val="false"/>
        <w:jc w:val="both"/>
        <w:rPr>
          <w:highlight w:val="none"/>
          <w:shd w:fill="auto" w:val="clear"/>
        </w:rPr>
      </w:pPr>
      <w:r>
        <w:rPr>
          <w:shd w:fill="auto" w:val="clear"/>
        </w:rPr>
        <w:t>2) непоступление задатка на дату рассмотрения заявок на участие в аукционе;</w:t>
      </w:r>
    </w:p>
    <w:p>
      <w:pPr>
        <w:pStyle w:val="Normal"/>
        <w:widowControl w:val="false"/>
        <w:ind w:firstLine="567" w:left="-567"/>
        <w:jc w:val="both"/>
        <w:rPr>
          <w:highlight w:val="none"/>
          <w:shd w:fill="auto" w:val="clear"/>
        </w:rPr>
      </w:pPr>
      <w:r>
        <w:rPr>
          <w:shd w:fill="auto" w:val="clear"/>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w:t>
        <w:br/>
        <w:t>в аренду;</w:t>
      </w:r>
    </w:p>
    <w:p>
      <w:pPr>
        <w:pStyle w:val="Normal"/>
        <w:widowControl w:val="false"/>
        <w:ind w:firstLine="567" w:left="-567"/>
        <w:jc w:val="both"/>
        <w:rPr>
          <w:highlight w:val="none"/>
          <w:shd w:fill="auto" w:val="clear"/>
        </w:rPr>
      </w:pPr>
      <w:r>
        <w:rPr>
          <w:shd w:fill="auto" w:val="clea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ind w:firstLine="567" w:left="-567"/>
        <w:jc w:val="both"/>
        <w:rPr>
          <w:highlight w:val="none"/>
          <w:shd w:fill="auto" w:val="clear"/>
        </w:rPr>
      </w:pPr>
      <w:r>
        <w:rPr>
          <w:shd w:fill="auto" w:val="clear"/>
        </w:rPr>
        <w:t xml:space="preserve">В день признания заявителей участниками аукциона, указанный в извещении </w:t>
        <w:br/>
        <w:t>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pPr>
        <w:pStyle w:val="Normal"/>
        <w:widowControl w:val="false"/>
        <w:ind w:firstLine="567" w:left="-567"/>
        <w:jc w:val="both"/>
        <w:rPr>
          <w:highlight w:val="none"/>
          <w:shd w:fill="auto" w:val="clear"/>
        </w:rPr>
      </w:pPr>
      <w:r>
        <w:rPr>
          <w:shd w:fill="auto" w:val="clear"/>
        </w:rPr>
        <w:t>Заявитель приобретает статус участника аукциона с момента подписания протокола рассмотрения заявок.</w:t>
      </w:r>
    </w:p>
    <w:p>
      <w:pPr>
        <w:pStyle w:val="Normal"/>
        <w:widowControl w:val="false"/>
        <w:ind w:firstLine="567" w:left="-567"/>
        <w:jc w:val="both"/>
        <w:rPr>
          <w:highlight w:val="none"/>
          <w:shd w:fill="auto" w:val="clear"/>
        </w:rPr>
      </w:pPr>
      <w:r>
        <w:rPr>
          <w:shd w:fill="auto" w:val="clear"/>
        </w:rPr>
        <w:t xml:space="preserve">Не позднее следующего рабочего дня после дня подписания протокола рассмотрения заявок,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 </w:t>
      </w:r>
    </w:p>
    <w:p>
      <w:pPr>
        <w:pStyle w:val="BodyText"/>
        <w:widowControl w:val="false"/>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указанные в подпункте 4 пункта 15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r>
        <w:rPr>
          <w:rFonts w:eastAsia="Droid Sans Fallback" w:cs="Lohit Devanagari"/>
          <w:color w:val="000000"/>
          <w:sz w:val="24"/>
          <w:szCs w:val="24"/>
          <w:shd w:fill="auto" w:val="clear"/>
          <w:lang w:val="ru-RU" w:eastAsia="zh-CN" w:bidi="ar-SA"/>
        </w:rPr>
        <w:t>, в отношении лиц, указанных в пунктах 13 и 14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p>
    <w:p>
      <w:pPr>
        <w:pStyle w:val="Normal"/>
        <w:widowControl w:val="false"/>
        <w:ind w:firstLine="567" w:left="-567"/>
        <w:jc w:val="both"/>
        <w:rPr>
          <w:rFonts w:ascii="Times New Roman" w:hAnsi="Times New Roman" w:eastAsia="Droid Sans Fallback" w:cs="Lohit Devanagari"/>
          <w:color w:val="auto"/>
          <w:sz w:val="24"/>
          <w:szCs w:val="24"/>
          <w:highlight w:val="none"/>
          <w:shd w:fill="auto" w:val="clear"/>
          <w:lang w:val="ru-RU" w:eastAsia="zh-CN" w:bidi="ar-SA"/>
        </w:rPr>
      </w:pPr>
      <w:r>
        <w:rPr>
          <w:rFonts w:eastAsia="Droid Sans Fallback" w:cs="Lohit Devanagari"/>
          <w:color w:val="000000"/>
          <w:sz w:val="24"/>
          <w:szCs w:val="24"/>
          <w:shd w:fill="auto" w:val="clear"/>
          <w:lang w:val="ru-RU" w:eastAsia="zh-CN" w:bidi="ar-SA"/>
        </w:rPr>
      </w:r>
    </w:p>
    <w:p>
      <w:pPr>
        <w:pStyle w:val="Normal"/>
        <w:widowControl w:val="false"/>
        <w:spacing w:lineRule="auto" w:line="276"/>
        <w:ind w:firstLine="567" w:left="-567"/>
        <w:jc w:val="both"/>
        <w:rPr>
          <w:highlight w:val="none"/>
          <w:shd w:fill="auto" w:val="clear"/>
        </w:rPr>
      </w:pPr>
      <w:r>
        <w:rPr>
          <w:shd w:fill="auto" w:val="clear"/>
        </w:rPr>
      </w:r>
    </w:p>
    <w:p>
      <w:pPr>
        <w:pStyle w:val="Normal"/>
        <w:jc w:val="center"/>
        <w:rPr>
          <w:highlight w:val="none"/>
          <w:shd w:fill="auto" w:val="clear"/>
        </w:rPr>
      </w:pPr>
      <w:r>
        <w:rPr>
          <w:b/>
          <w:bCs/>
          <w:shd w:fill="auto" w:val="clear"/>
        </w:rPr>
        <w:t>Порядок проведения аукциона</w:t>
      </w:r>
    </w:p>
    <w:p>
      <w:pPr>
        <w:pStyle w:val="Normal"/>
        <w:widowControl w:val="false"/>
        <w:ind w:left="502"/>
        <w:jc w:val="center"/>
        <w:rPr>
          <w:rFonts w:eastAsia="Courier New"/>
          <w:b/>
          <w:bCs/>
          <w:highlight w:val="none"/>
          <w:shd w:fill="auto" w:val="clear"/>
          <w:lang w:bidi="ru-RU"/>
        </w:rPr>
      </w:pPr>
      <w:r>
        <w:rPr>
          <w:rFonts w:eastAsia="Courier New"/>
          <w:b/>
          <w:bCs/>
          <w:shd w:fill="auto" w:val="clear"/>
          <w:lang w:bidi="ru-RU"/>
        </w:rPr>
      </w:r>
    </w:p>
    <w:p>
      <w:pPr>
        <w:pStyle w:val="Normal"/>
        <w:ind w:firstLine="567" w:left="-567"/>
        <w:jc w:val="both"/>
        <w:rPr>
          <w:highlight w:val="none"/>
          <w:shd w:fill="auto" w:val="clear"/>
        </w:rPr>
      </w:pPr>
      <w:r>
        <w:rPr>
          <w:rFonts w:eastAsia="Calibri"/>
          <w:shd w:fill="auto" w:val="clear"/>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pPr>
        <w:pStyle w:val="Normal"/>
        <w:ind w:firstLine="567" w:left="-567"/>
        <w:jc w:val="both"/>
        <w:rPr>
          <w:highlight w:val="none"/>
          <w:shd w:fill="auto" w:val="clear"/>
        </w:rPr>
      </w:pPr>
      <w:r>
        <w:rPr>
          <w:rFonts w:eastAsia="Calibri"/>
          <w:shd w:fill="auto" w:val="clear"/>
        </w:rPr>
        <w:t xml:space="preserve">«Шаг аукциона» устанавливается Организатором аукциона в фиксированной сумме, составляющей </w:t>
      </w:r>
      <w:r>
        <w:rPr>
          <w:rFonts w:eastAsia="Droid Sans Fallback" w:cs="Lohit Devanagari"/>
          <w:bCs/>
          <w:color w:val="000000"/>
          <w:sz w:val="24"/>
          <w:szCs w:val="24"/>
          <w:shd w:fill="auto" w:val="clear"/>
          <w:lang w:val="ru-RU" w:eastAsia="zh-CN" w:bidi="ar-SA"/>
        </w:rPr>
        <w:t>5% от начальной цены предмета аукциона</w:t>
      </w:r>
      <w:r>
        <w:rPr>
          <w:rFonts w:eastAsia="Calibri"/>
          <w:shd w:fill="auto" w:val="clear"/>
        </w:rPr>
        <w:t>, и не изменяется в течение всего времени подачи предложений о цене.</w:t>
      </w:r>
    </w:p>
    <w:p>
      <w:pPr>
        <w:pStyle w:val="Normal"/>
        <w:ind w:firstLine="567" w:left="-567"/>
        <w:jc w:val="both"/>
        <w:rPr>
          <w:highlight w:val="none"/>
          <w:shd w:fill="auto" w:val="clear"/>
        </w:rPr>
      </w:pPr>
      <w:r>
        <w:rPr>
          <w:rFonts w:eastAsia="Calibri"/>
          <w:shd w:fill="auto" w:val="clear"/>
        </w:rPr>
        <w:t>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left="-567"/>
        <w:jc w:val="both"/>
        <w:rPr>
          <w:highlight w:val="none"/>
          <w:shd w:fill="auto" w:val="clear"/>
        </w:rPr>
      </w:pPr>
      <w:r>
        <w:rPr>
          <w:rFonts w:eastAsia="Calibri"/>
          <w:shd w:fill="auto" w:val="clear"/>
        </w:rPr>
        <w:t xml:space="preserve">1) предложение о цене предмета аукциона увеличивает текущее максимальное предложение </w:t>
      </w:r>
      <w:r>
        <w:rPr>
          <w:rFonts w:eastAsia="Calibri"/>
          <w:shd w:fill="auto" w:val="clear"/>
        </w:rPr>
        <w:br w:type="textWrapping" w:clear="all"/>
      </w:r>
      <w:r>
        <w:rPr>
          <w:rFonts w:eastAsia="Calibri"/>
          <w:shd w:fill="auto" w:val="clear"/>
        </w:rPr>
        <w:t>о цене предмета аукциона на величину «шага аукциона»;</w:t>
      </w:r>
    </w:p>
    <w:p>
      <w:pPr>
        <w:pStyle w:val="Normal"/>
        <w:ind w:firstLine="567" w:left="-567"/>
        <w:jc w:val="both"/>
        <w:rPr>
          <w:highlight w:val="none"/>
          <w:shd w:fill="auto" w:val="clear"/>
        </w:rPr>
      </w:pPr>
      <w:r>
        <w:rPr>
          <w:rFonts w:eastAsia="Calibri"/>
          <w:shd w:fill="auto" w:val="clear"/>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left="-567"/>
        <w:jc w:val="both"/>
        <w:rPr>
          <w:highlight w:val="none"/>
          <w:shd w:fill="auto" w:val="clear"/>
        </w:rPr>
      </w:pPr>
      <w:r>
        <w:rPr>
          <w:rFonts w:eastAsia="Calibri"/>
          <w:shd w:fill="auto" w:val="clear"/>
        </w:rPr>
        <w:t>Время для подачи предложений о цене аукциона определяется в следующем порядке:</w:t>
      </w:r>
    </w:p>
    <w:p>
      <w:pPr>
        <w:pStyle w:val="Normal"/>
        <w:ind w:firstLine="567" w:left="-567"/>
        <w:jc w:val="both"/>
        <w:rPr>
          <w:highlight w:val="none"/>
          <w:shd w:fill="auto" w:val="clear"/>
        </w:rPr>
      </w:pPr>
      <w:r>
        <w:rPr>
          <w:rFonts w:eastAsia="Calibri"/>
          <w:shd w:fill="auto" w:val="clear"/>
        </w:rPr>
        <w:t xml:space="preserve">Время ожидания предложения участника аукциона о цене предмета аукциона составляет </w:t>
      </w:r>
      <w:r>
        <w:rPr>
          <w:rFonts w:eastAsia="Calibri"/>
          <w:shd w:fill="auto" w:val="clear"/>
        </w:rPr>
        <w:br w:type="textWrapping" w:clear="all"/>
      </w:r>
      <w:r>
        <w:rPr>
          <w:rFonts w:eastAsia="Calibri"/>
          <w:shd w:fill="auto" w:val="clear"/>
        </w:rPr>
        <w:t xml:space="preserve">10 (десять) минут. При поступлении предложения участника аукциона </w:t>
        <w:br/>
        <w:t>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w:t>
      </w:r>
    </w:p>
    <w:p>
      <w:pPr>
        <w:pStyle w:val="Normal"/>
        <w:ind w:firstLine="567" w:left="-567"/>
        <w:jc w:val="both"/>
        <w:rPr>
          <w:highlight w:val="none"/>
          <w:shd w:fill="auto" w:val="clear"/>
        </w:rPr>
      </w:pPr>
      <w:r>
        <w:rPr>
          <w:rFonts w:eastAsia="Calibri"/>
          <w:shd w:fill="auto" w:val="clear"/>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 же как время, оставшееся до окончания торгов в минутах.</w:t>
      </w:r>
    </w:p>
    <w:p>
      <w:pPr>
        <w:pStyle w:val="Normal"/>
        <w:ind w:firstLine="567" w:left="-567"/>
        <w:jc w:val="both"/>
        <w:rPr>
          <w:highlight w:val="none"/>
          <w:shd w:fill="auto" w:val="clear"/>
        </w:rPr>
      </w:pPr>
      <w:r>
        <w:rPr>
          <w:rFonts w:eastAsia="Calibri"/>
          <w:shd w:fill="auto" w:val="clear"/>
        </w:rPr>
        <w:t xml:space="preserve">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w:t>
      </w:r>
      <w:r>
        <w:rPr>
          <w:rFonts w:eastAsia="Calibri"/>
          <w:shd w:fill="auto" w:val="clear"/>
        </w:rPr>
        <w:br w:type="textWrapping" w:clear="all"/>
      </w:r>
      <w:r>
        <w:rPr>
          <w:rFonts w:eastAsia="Calibri"/>
          <w:shd w:fill="auto" w:val="clear"/>
        </w:rPr>
        <w:t>в момент его поступления и соответствующее уведомление участника аукциона, в случаях, если:</w:t>
      </w:r>
    </w:p>
    <w:p>
      <w:pPr>
        <w:pStyle w:val="Normal"/>
        <w:ind w:firstLine="567" w:left="-567"/>
        <w:jc w:val="both"/>
        <w:rPr>
          <w:highlight w:val="none"/>
          <w:shd w:fill="auto" w:val="clear"/>
        </w:rPr>
      </w:pPr>
      <w:r>
        <w:rPr>
          <w:rFonts w:eastAsia="Calibri"/>
          <w:shd w:fill="auto" w:val="clear"/>
        </w:rPr>
        <w:t>- предложение о цене аукциона предоставлено до начала или по истечении установленного времени для подачи предложений о цене аукциона;</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ниже начальной цены;</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равно нулю;</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не соответствует увеличению текущей цены на величину «шага аукциона»;</w:t>
      </w:r>
    </w:p>
    <w:p>
      <w:pPr>
        <w:pStyle w:val="Normal"/>
        <w:ind w:firstLine="567" w:left="-567"/>
        <w:jc w:val="both"/>
        <w:rPr>
          <w:highlight w:val="none"/>
          <w:shd w:fill="auto" w:val="clear"/>
        </w:rPr>
      </w:pPr>
      <w:r>
        <w:rPr>
          <w:rFonts w:eastAsia="Calibri"/>
          <w:shd w:fill="auto" w:val="clear"/>
        </w:rPr>
        <w:t>- предыдущее представленное данным участником аукциона предложение о цене аукциона является лучшим текущим предложением о цене;</w:t>
      </w:r>
    </w:p>
    <w:p>
      <w:pPr>
        <w:pStyle w:val="Normal"/>
        <w:ind w:firstLine="567" w:left="-567"/>
        <w:jc w:val="both"/>
        <w:rPr>
          <w:highlight w:val="none"/>
          <w:shd w:fill="auto" w:val="clear"/>
        </w:rPr>
      </w:pPr>
      <w:r>
        <w:rPr>
          <w:rFonts w:eastAsia="Calibri"/>
          <w:shd w:fill="auto" w:val="clear"/>
        </w:rPr>
        <w:t>- представленное участником аукциона предложение о цене аукциона меньше ранее представленных предложений.</w:t>
      </w:r>
    </w:p>
    <w:p>
      <w:pPr>
        <w:pStyle w:val="Normal"/>
        <w:ind w:firstLine="567" w:left="-567"/>
        <w:jc w:val="both"/>
        <w:rPr>
          <w:highlight w:val="none"/>
          <w:shd w:fill="auto" w:val="clear"/>
        </w:rPr>
      </w:pPr>
      <w:r>
        <w:rPr>
          <w:rFonts w:eastAsia="Calibri"/>
          <w:shd w:fill="auto" w:val="clear"/>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pPr>
        <w:pStyle w:val="Normal"/>
        <w:ind w:firstLine="567" w:left="-567"/>
        <w:jc w:val="both"/>
        <w:rPr>
          <w:highlight w:val="none"/>
          <w:shd w:fill="auto" w:val="clear"/>
        </w:rPr>
      </w:pPr>
      <w:r>
        <w:rPr>
          <w:rFonts w:eastAsia="Calibri"/>
          <w:shd w:fill="auto" w:val="clear"/>
        </w:rPr>
        <w:t xml:space="preserve">Победителем аукциона признается участник аукциона, предложивший наибольшую цену </w:t>
      </w:r>
      <w:r>
        <w:rPr>
          <w:rFonts w:eastAsia="Calibri"/>
          <w:shd w:fill="auto" w:val="clear"/>
        </w:rPr>
        <w:br w:type="textWrapping" w:clear="all"/>
      </w:r>
      <w:r>
        <w:rPr>
          <w:rFonts w:eastAsia="Calibri"/>
          <w:shd w:fill="auto" w:val="clear"/>
        </w:rPr>
        <w:t>за земельный участок или наибольший размер ежегодной арендной платы за земельный участок.</w:t>
      </w:r>
    </w:p>
    <w:p>
      <w:pPr>
        <w:pStyle w:val="Normal"/>
        <w:ind w:firstLine="567" w:left="-567"/>
        <w:jc w:val="both"/>
        <w:rPr>
          <w:highlight w:val="none"/>
          <w:shd w:fill="auto" w:val="clear"/>
        </w:rPr>
      </w:pPr>
      <w:r>
        <w:rPr>
          <w:rFonts w:eastAsia="Calibri"/>
          <w:shd w:fill="auto" w:val="clear"/>
        </w:rPr>
        <w:t>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w:t>
      </w:r>
    </w:p>
    <w:p>
      <w:pPr>
        <w:pStyle w:val="Normal"/>
        <w:ind w:firstLine="567" w:left="-567"/>
        <w:jc w:val="both"/>
        <w:rPr>
          <w:rFonts w:eastAsia="Calibri"/>
          <w:highlight w:val="none"/>
          <w:shd w:fill="auto" w:val="clear"/>
        </w:rPr>
      </w:pPr>
      <w:r>
        <w:rPr>
          <w:rFonts w:eastAsia="Calibri"/>
          <w:shd w:fill="auto" w:val="clear"/>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Порядок и срок заключения договора</w:t>
      </w:r>
      <w:r>
        <w:rPr>
          <w:b/>
          <w:bCs/>
          <w:shd w:fill="auto" w:val="clear"/>
        </w:rPr>
        <w:br w:type="textWrapping" w:clear="all"/>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 ес</w:t>
      </w:r>
      <w:r>
        <w:rPr>
          <w:rFonts w:eastAsia="Droid Sans Fallback" w:cs="Lohit Devanagari"/>
          <w:bCs/>
          <w:color w:val="000000"/>
          <w:sz w:val="24"/>
          <w:szCs w:val="24"/>
          <w:shd w:fill="auto" w:val="clear"/>
          <w:lang w:val="ru-RU" w:eastAsia="zh-CN" w:bidi="ar-SA"/>
        </w:rPr>
        <w:t>ли аукцион признан несостоявшимся, либо протокола о результатах аукциона на официальных сайтах www.torgi.gov.ru,  www.gorodperm.ru.</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Департамент земельных отношений администрации города Перми обязан в течение пяти дней со дня истечения срока, предусмотренного пунктом 11 статьи 39.13 Земельного кодекса Российской Федерации, направить победителю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Normal"/>
        <w:ind w:firstLine="567" w:left="-567"/>
        <w:jc w:val="both"/>
        <w:rPr>
          <w:highlight w:val="none"/>
          <w:shd w:fill="auto" w:val="clear"/>
        </w:rPr>
      </w:pPr>
      <w:r>
        <w:rPr>
          <w:bCs/>
          <w:shd w:fill="auto" w:val="clear"/>
        </w:rPr>
        <w:t>Проекты договоров является частью извещения и представлены в Приложениях 1-5  к настоящему извещению.</w:t>
        <w:tab/>
      </w:r>
    </w:p>
    <w:p>
      <w:pPr>
        <w:pStyle w:val="Normal"/>
        <w:ind w:firstLine="567" w:left="-567"/>
        <w:jc w:val="both"/>
        <w:rPr>
          <w:highlight w:val="none"/>
          <w:shd w:fill="auto" w:val="clear"/>
        </w:rPr>
      </w:pPr>
      <w:r>
        <w:rPr>
          <w:bCs/>
          <w:shd w:fill="auto" w:val="clear"/>
        </w:rPr>
        <w:t xml:space="preserve">Если договор аренды земельного участка </w:t>
      </w:r>
      <w:r>
        <w:rPr>
          <w:b w:val="false"/>
          <w:bCs/>
          <w:shd w:fill="auto" w:val="clear"/>
        </w:rPr>
        <w:t>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 департамент земельных отношений администрации города Перми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Normal"/>
        <w:numPr>
          <w:ilvl w:val="0"/>
          <w:numId w:val="0"/>
        </w:numPr>
        <w:tabs>
          <w:tab w:val="clear" w:pos="708"/>
          <w:tab w:val="center" w:pos="567" w:leader="none"/>
        </w:tabs>
        <w:ind w:firstLine="567" w:left="-567"/>
        <w:jc w:val="both"/>
        <w:outlineLvl w:val="0"/>
        <w:rPr>
          <w:highlight w:val="none"/>
          <w:shd w:fill="auto" w:val="clear"/>
        </w:rPr>
      </w:pPr>
      <w:r>
        <w:rPr>
          <w:rFonts w:eastAsia="Courier New"/>
          <w:shd w:fill="auto" w:val="clear"/>
          <w:lang w:bidi="ru-RU"/>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пунктом 13, 14, 20 или 25 ст. 39.12 Земельного кодекса Российской Федерации и которые уклонились от заключения, включаются в реестр недобросовестных участников аукциона.</w:t>
      </w:r>
    </w:p>
    <w:sectPr>
      <w:headerReference w:type="default" r:id="rId22"/>
      <w:headerReference w:type="first" r:id="rId23"/>
      <w:type w:val="nextPage"/>
      <w:pgSz w:w="11906" w:h="16838"/>
      <w:pgMar w:left="1418" w:right="567" w:gutter="0" w:header="363" w:top="420"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Open Sans">
    <w:charset w:val="01"/>
    <w:family w:val="roman"/>
    <w:pitch w:val="variable"/>
  </w:font>
  <w:font w:name="Consultant">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8"/>
      </w:rPr>
    </w:pPr>
    <w:r>
      <w:rPr>
        <w:sz w:val="20"/>
        <w:szCs w:val="28"/>
      </w:rPr>
      <w:fldChar w:fldCharType="begin"/>
    </w:r>
    <w:r>
      <w:rPr>
        <w:sz w:val="20"/>
        <w:szCs w:val="28"/>
      </w:rPr>
      <w:instrText xml:space="preserve"> PAGE </w:instrText>
    </w:r>
    <w:r>
      <w:rPr>
        <w:sz w:val="20"/>
        <w:szCs w:val="28"/>
      </w:rPr>
      <w:fldChar w:fldCharType="separate"/>
    </w:r>
    <w:r>
      <w:rPr>
        <w:sz w:val="20"/>
        <w:szCs w:val="28"/>
      </w:rPr>
      <w:t>48</w:t>
    </w:r>
    <w:r>
      <w:rPr>
        <w:sz w:val="20"/>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pStyle w:val="Heading6"/>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360"/>
        </w:tabs>
        <w:ind w:left="36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4"/>
        <w:u w:val="none"/>
        <w:szCs w:val="24"/>
        <w:color w:val="000000"/>
      </w:rPr>
    </w:lvl>
    <w:lvl w:ilvl="1">
      <w:start w:val="1"/>
      <w:numFmt w:val="bullet"/>
      <w:lvlText w:val="o"/>
      <w:lvlJc w:val="left"/>
      <w:pPr>
        <w:tabs>
          <w:tab w:val="num" w:pos="0"/>
        </w:tabs>
        <w:ind w:left="1440" w:hanging="360"/>
      </w:pPr>
      <w:rPr>
        <w:rFonts w:ascii="Courier New" w:hAnsi="Courier New" w:cs="Courier New" w:hint="default"/>
        <w:sz w:val="24"/>
        <w:u w:val="none"/>
        <w:szCs w:val="24"/>
        <w:color w:val="000000"/>
        <w:lang w:val="ru-RU"/>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sz w:val="24"/>
        <w:szCs w:val="24"/>
        <w:lang w:val="ru-RU"/>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bidi="ru-RU"/>
      </w:rPr>
    </w:lvl>
    <w:lvl w:ilvl="6">
      <w:start w:val="1"/>
      <w:numFmt w:val="bullet"/>
      <w:lvlText w:val="·"/>
      <w:lvlJc w:val="left"/>
      <w:pPr>
        <w:tabs>
          <w:tab w:val="num" w:pos="0"/>
        </w:tabs>
        <w:ind w:left="5040" w:hanging="360"/>
      </w:pPr>
      <w:rPr>
        <w:rFonts w:ascii="Symbol" w:hAnsi="Symbol" w:cs="Symbol" w:hint="default"/>
        <w:lang w:eastAsia="en-US"/>
      </w:rPr>
    </w:lvl>
    <w:lvl w:ilvl="7">
      <w:start w:val="1"/>
      <w:numFmt w:val="bullet"/>
      <w:lvlText w:val="o"/>
      <w:lvlJc w:val="left"/>
      <w:pPr>
        <w:tabs>
          <w:tab w:val="num" w:pos="0"/>
        </w:tabs>
        <w:ind w:left="5760" w:hanging="360"/>
      </w:pPr>
      <w:rPr>
        <w:rFonts w:ascii="Courier New" w:hAnsi="Courier New" w:cs="Courier New" w:hint="default"/>
        <w:bCs/>
        <w:lang w:eastAsia="en-US" w:bidi="ru-RU"/>
      </w:rPr>
    </w:lvl>
    <w:lvl w:ilvl="8">
      <w:start w:val="1"/>
      <w:numFmt w:val="bullet"/>
      <w:lvlText w:val="§"/>
      <w:lvlJc w:val="left"/>
      <w:pPr>
        <w:tabs>
          <w:tab w:val="num" w:pos="0"/>
        </w:tabs>
        <w:ind w:left="6480" w:hanging="360"/>
      </w:pPr>
      <w:rPr>
        <w:rFonts w:ascii="Wingdings" w:hAnsi="Wingdings" w:cs="Wingdings" w:hint="default"/>
        <w:b/>
        <w:bCs/>
        <w:lang w:bidi="ru-RU"/>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zh-CN" w:bidi="ar-SA"/>
    </w:rPr>
  </w:style>
  <w:style w:type="paragraph" w:styleId="Heading1">
    <w:name w:val="Heading 1"/>
    <w:basedOn w:val="Normal"/>
    <w:qFormat/>
    <w:pPr>
      <w:keepNext w:val="true"/>
      <w:numPr>
        <w:ilvl w:val="0"/>
        <w:numId w:val="1"/>
      </w:numPr>
      <w:jc w:val="center"/>
      <w:outlineLvl w:val="0"/>
    </w:pPr>
    <w:rPr>
      <w:b/>
      <w:sz w:val="28"/>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qFormat/>
    <w:pPr>
      <w:numPr>
        <w:ilvl w:val="5"/>
        <w:numId w:val="1"/>
      </w:numPr>
      <w:spacing w:before="240" w:after="60"/>
      <w:outlineLvl w:val="5"/>
    </w:pPr>
    <w:rPr>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1" w:customStyle="1">
    <w:name w:val="Заголовок 6 Знак1"/>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11" w:customStyle="1">
    <w:name w:val="Заголовок Знак1"/>
    <w:uiPriority w:val="10"/>
    <w:qFormat/>
    <w:rPr>
      <w:sz w:val="48"/>
      <w:szCs w:val="48"/>
    </w:rPr>
  </w:style>
  <w:style w:type="character" w:styleId="Style5"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6" w:customStyle="1">
    <w:name w:val="Выделенная цитата Знак"/>
    <w:uiPriority w:val="30"/>
    <w:qFormat/>
    <w:rPr>
      <w:i/>
    </w:rPr>
  </w:style>
  <w:style w:type="character" w:styleId="12" w:customStyle="1">
    <w:name w:val="Верхний колонтитул Знак1"/>
    <w:uiPriority w:val="99"/>
    <w:qFormat/>
    <w:rPr/>
  </w:style>
  <w:style w:type="character" w:styleId="FooterChar" w:customStyle="1">
    <w:name w:val="Footer Char"/>
    <w:uiPriority w:val="99"/>
    <w:qFormat/>
    <w:rPr/>
  </w:style>
  <w:style w:type="character" w:styleId="13" w:customStyle="1">
    <w:name w:val="Нижний колонтитул Знак1"/>
    <w:uiPriority w:val="99"/>
    <w:qFormat/>
    <w:rPr/>
  </w:style>
  <w:style w:type="character" w:styleId="Style7" w:customStyle="1">
    <w:name w:val="Текст сноски Знак"/>
    <w:uiPriority w:val="99"/>
    <w:qFormat/>
    <w:rPr>
      <w:sz w:val="18"/>
    </w:rPr>
  </w:style>
  <w:style w:type="character" w:styleId="Style8">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WW8Num2z0" w:customStyle="1">
    <w:name w:val="WW8Num2z0"/>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z w:val="16"/>
      <w:szCs w:val="16"/>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9z0" w:customStyle="1">
    <w:name w:val="WW8Num29z0"/>
    <w:qFormat/>
    <w:rPr>
      <w:rFonts w:ascii="Symbol" w:hAnsi="Symbol" w:cs="Symbol"/>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Pagenumber">
    <w:name w:val="page number"/>
    <w:basedOn w:val="DefaultParagraphFont"/>
    <w:qFormat/>
    <w:rPr/>
  </w:style>
  <w:style w:type="character" w:styleId="Style11" w:customStyle="1">
    <w:name w:val="Текст Знак"/>
    <w:qFormat/>
    <w:rPr>
      <w:rFonts w:ascii="Courier New" w:hAnsi="Courier New" w:cs="Courier New"/>
    </w:rPr>
  </w:style>
  <w:style w:type="character" w:styleId="Style12" w:customStyle="1">
    <w:name w:val="Верхний колонтитул Знак"/>
    <w:qFormat/>
    <w:rPr>
      <w:sz w:val="16"/>
      <w:lang w:val="ru-RU" w:bidi="ar-SA"/>
    </w:rPr>
  </w:style>
  <w:style w:type="character" w:styleId="31" w:customStyle="1">
    <w:name w:val="Основной текст с отступом 3 Знак"/>
    <w:qFormat/>
    <w:rPr>
      <w:sz w:val="16"/>
      <w:szCs w:val="16"/>
    </w:rPr>
  </w:style>
  <w:style w:type="character" w:styleId="Hyperlink">
    <w:name w:val="Hyperlink"/>
    <w:rPr>
      <w:color w:val="0563C1"/>
      <w:u w:val="single"/>
    </w:rPr>
  </w:style>
  <w:style w:type="character" w:styleId="Style13" w:customStyle="1">
    <w:name w:val="Абзац списка Знак"/>
    <w:qFormat/>
    <w:rPr>
      <w:sz w:val="24"/>
      <w:szCs w:val="24"/>
    </w:rPr>
  </w:style>
  <w:style w:type="character" w:styleId="6" w:customStyle="1">
    <w:name w:val="Заголовок 6 Знак"/>
    <w:qFormat/>
    <w:rPr>
      <w:b/>
      <w:bCs/>
      <w:sz w:val="22"/>
      <w:szCs w:val="22"/>
    </w:rPr>
  </w:style>
  <w:style w:type="character" w:styleId="Style14" w:customStyle="1">
    <w:name w:val="Название Знак"/>
    <w:qFormat/>
    <w:rPr>
      <w:sz w:val="28"/>
      <w:lang w:val="ru-RU" w:bidi="ar-SA"/>
    </w:rPr>
  </w:style>
  <w:style w:type="character" w:styleId="Style15" w:customStyle="1">
    <w:name w:val="Заголовок Знак"/>
    <w:qFormat/>
    <w:rPr>
      <w:rFonts w:ascii="Calibri Light" w:hAnsi="Calibri Light" w:eastAsia="Times New Roman" w:cs="Times New Roman"/>
      <w:b/>
      <w:bCs/>
      <w:sz w:val="32"/>
      <w:szCs w:val="32"/>
    </w:rPr>
  </w:style>
  <w:style w:type="character" w:styleId="Style16" w:customStyle="1">
    <w:name w:val="Нижний колонтитул Знак"/>
    <w:qFormat/>
    <w:rPr/>
  </w:style>
  <w:style w:type="character" w:styleId="FollowedHyperlink">
    <w:name w:val="FollowedHyperlink"/>
    <w:rPr>
      <w:color w:val="954F72"/>
      <w:u w:val="single"/>
    </w:rPr>
  </w:style>
  <w:style w:type="character" w:styleId="Style17" w:customStyle="1">
    <w:name w:val="Гиперссылка"/>
    <w:qFormat/>
    <w:rPr>
      <w:color w:val="0000FF"/>
      <w:u w:val="single"/>
    </w:rPr>
  </w:style>
  <w:style w:type="character" w:styleId="Style18">
    <w:name w:val="Символ нумерации"/>
    <w:qFormat/>
    <w:rPr/>
  </w:style>
  <w:style w:type="paragraph" w:styleId="Style1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20">
    <w:name w:val="Указатель"/>
    <w:basedOn w:val="Normal"/>
    <w:qFormat/>
    <w:pPr>
      <w:suppressLineNumbers/>
    </w:pPr>
    <w:rPr>
      <w:rFonts w:cs="Lohit Devanagari"/>
    </w:rPr>
  </w:style>
  <w:style w:type="paragraph" w:styleId="ListParagraph">
    <w:name w:val="List Paragraph"/>
    <w:basedOn w:val="Normal"/>
    <w:qFormat/>
    <w:pPr>
      <w:ind w:left="708"/>
    </w:pPr>
    <w:rPr/>
  </w:style>
  <w:style w:type="paragraph" w:styleId="NoSpacing">
    <w:name w:val="No Spacing"/>
    <w:uiPriority w:val="1"/>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itle">
    <w:name w:val="Title"/>
    <w:basedOn w:val="Normal"/>
    <w:qFormat/>
    <w:pPr>
      <w:spacing w:before="240" w:after="60"/>
      <w:jc w:val="center"/>
      <w:outlineLvl w:val="0"/>
    </w:pPr>
    <w:rPr>
      <w:rFonts w:ascii="Calibri Light" w:hAnsi="Calibri Light"/>
      <w:b/>
      <w:bCs/>
      <w:sz w:val="32"/>
      <w:szCs w:val="32"/>
    </w:rPr>
  </w:style>
  <w:style w:type="paragraph" w:styleId="Subtitle">
    <w:name w:val="Subtitle"/>
    <w:basedOn w:val="Normal"/>
    <w:uiPriority w:val="11"/>
    <w:qFormat/>
    <w:pPr>
      <w:spacing w:before="200" w:after="200"/>
    </w:pPr>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Style1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ableofFigures">
    <w:name w:val="Table of Figures"/>
    <w:basedOn w:val="Normal"/>
    <w:uiPriority w:val="99"/>
    <w:unhideWhenUsed/>
    <w:pPr/>
    <w:rPr/>
  </w:style>
  <w:style w:type="paragraph" w:styleId="Indexheading1">
    <w:name w:val="index heading1"/>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PlainText">
    <w:name w:val="Plain Text"/>
    <w:basedOn w:val="Normal"/>
    <w:qFormat/>
    <w:pPr/>
    <w:rPr>
      <w:rFonts w:ascii="Courier New" w:hAnsi="Courier New" w:cs="Courier New"/>
      <w:sz w:val="20"/>
      <w:szCs w:val="20"/>
      <w:lang w:val="en-US"/>
    </w:rPr>
  </w:style>
  <w:style w:type="paragraph" w:styleId="ConsNormal" w:customStyle="1">
    <w:name w:val="ConsNormal"/>
    <w:qFormat/>
    <w:pPr>
      <w:widowControl/>
      <w:suppressAutoHyphens w:val="true"/>
      <w:bidi w:val="0"/>
      <w:spacing w:before="0" w:after="0"/>
      <w:ind w:firstLine="720"/>
      <w:jc w:val="left"/>
    </w:pPr>
    <w:rPr>
      <w:rFonts w:ascii="Consultant" w:hAnsi="Consultant" w:eastAsia="Droid Sans Fallback" w:cs="Consultant"/>
      <w:color w:val="auto"/>
      <w:kern w:val="0"/>
      <w:sz w:val="20"/>
      <w:szCs w:val="20"/>
      <w:lang w:val="ru-RU" w:eastAsia="zh-CN" w:bidi="ar-SA"/>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21" w:customStyle="1">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Style22" w:customStyle="1">
    <w:name w:val="Знак Знак Знак Знак Знак Знак Знак Знак Знак Знак Знак Знак"/>
    <w:basedOn w:val="Normal"/>
    <w:qFormat/>
    <w:pPr/>
    <w:rPr>
      <w:rFonts w:ascii="Verdana" w:hAnsi="Verdana" w:cs="Verdana"/>
      <w:sz w:val="20"/>
      <w:szCs w:val="20"/>
      <w:lang w:val="en-US"/>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Lohit Devanagari"/>
      <w:color w:val="auto"/>
      <w:kern w:val="0"/>
      <w:sz w:val="20"/>
      <w:szCs w:val="20"/>
      <w:lang w:val="ru-RU" w:eastAsia="zh-CN" w:bidi="ar-SA"/>
    </w:rPr>
  </w:style>
  <w:style w:type="paragraph" w:styleId="Header">
    <w:name w:val="Header"/>
    <w:pPr>
      <w:widowControl/>
      <w:tabs>
        <w:tab w:val="clear" w:pos="708"/>
        <w:tab w:val="center" w:pos="4153" w:leader="none"/>
        <w:tab w:val="right" w:pos="8306" w:leader="none"/>
      </w:tabs>
      <w:suppressAutoHyphens w:val="true"/>
      <w:bidi w:val="0"/>
      <w:spacing w:before="0" w:after="0"/>
      <w:jc w:val="center"/>
    </w:pPr>
    <w:rPr>
      <w:rFonts w:ascii="Times New Roman" w:hAnsi="Times New Roman" w:eastAsia="Droid Sans Fallback" w:cs="Lohit Devanagari"/>
      <w:color w:val="auto"/>
      <w:kern w:val="0"/>
      <w:sz w:val="16"/>
      <w:szCs w:val="20"/>
      <w:lang w:val="ru-RU" w:eastAsia="zh-CN" w:bidi="ar-SA"/>
    </w:rPr>
  </w:style>
  <w:style w:type="paragraph" w:styleId="BodyTextIndent3">
    <w:name w:val="Body Text Indent 3"/>
    <w:basedOn w:val="Normal"/>
    <w:qFormat/>
    <w:pPr>
      <w:spacing w:before="0" w:after="120"/>
      <w:ind w:left="283"/>
    </w:pPr>
    <w:rPr>
      <w:sz w:val="16"/>
      <w:szCs w:val="16"/>
      <w:lang w:val="en-US"/>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Times New Roman" w:hAnsi="Times New Roman" w:eastAsia="Droid Sans Fallback" w:cs="Lohit Devanagari"/>
      <w:color w:val="000000"/>
      <w:kern w:val="0"/>
      <w:sz w:val="24"/>
      <w:szCs w:val="24"/>
      <w:lang w:val="ru-RU" w:eastAsia="zh-CN" w:bidi="ar-SA"/>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paragraph" w:styleId="TimesNewRoman">
    <w:name w:val="Times New Roman"/>
    <w:qFormat/>
    <w:pPr>
      <w:keepNext w:val="false"/>
      <w:keepLines w:val="false"/>
      <w:pageBreakBefore w:val="false"/>
      <w:widowControl/>
      <w:shd w:val="nil"/>
      <w:suppressAutoHyphens w:val="true"/>
      <w:bidi w:val="0"/>
      <w:spacing w:lineRule="auto" w:line="240" w:beforeAutospacing="0" w:before="0" w:afterAutospacing="0" w:after="0"/>
      <w:ind w:firstLine="311"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numbering" w:styleId="NoList" w:default="1">
    <w:name w:val="No List"/>
    <w:uiPriority w:val="99"/>
    <w:semiHidden/>
    <w:unhideWhenUsed/>
    <w:qFormat/>
  </w:style>
  <w:style w:type="table" w:styleId="82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2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3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3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3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3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3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4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4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4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5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5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5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5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5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6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6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6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6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6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7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7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7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7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8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8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8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8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8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9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9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9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9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89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0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0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0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0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1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1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1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2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2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2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2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2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3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3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3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3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4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4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4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4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gorodperm.ru/" TargetMode="External"/><Relationship Id="rId4" Type="http://schemas.openxmlformats.org/officeDocument/2006/relationships/hyperlink" Target="http://utp.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Main/Notice/988/Reglament" TargetMode="External"/><Relationship Id="rId7" Type="http://schemas.openxmlformats.org/officeDocument/2006/relationships/hyperlink" Target="https://utp.sberbank-ast.ru/AP/Notice/1027/Instructions" TargetMode="External"/><Relationship Id="rId8" Type="http://schemas.openxmlformats.org/officeDocument/2006/relationships/hyperlink" Target="https://utp.sberbank-ast.ru/AP/Notice/652/Instructions" TargetMode="External"/><Relationship Id="rId9" Type="http://schemas.openxmlformats.org/officeDocument/2006/relationships/hyperlink" Target="http://www.gorodperm.ru/" TargetMode="External"/><Relationship Id="rId10" Type="http://schemas.openxmlformats.org/officeDocument/2006/relationships/hyperlink" Target="http://www.gorodperm.ru/" TargetMode="External"/><Relationship Id="rId11" Type="http://schemas.openxmlformats.org/officeDocument/2006/relationships/hyperlink" Target="http://www.gorodperm.ru/" TargetMode="External"/><Relationship Id="rId12" Type="http://schemas.openxmlformats.org/officeDocument/2006/relationships/hyperlink" Target="http://www.gorodperm.ru/" TargetMode="External"/><Relationship Id="rId13" Type="http://schemas.openxmlformats.org/officeDocument/2006/relationships/hyperlink" Target="http://www.gorodperm.ru/" TargetMode="External"/><Relationship Id="rId14" Type="http://schemas.openxmlformats.org/officeDocument/2006/relationships/hyperlink" Target="mailto:perm-mail@ural.rt.ru." TargetMode="External"/><Relationship Id="rId15" Type="http://schemas.openxmlformats.org/officeDocument/2006/relationships/hyperlink" Target="http://www.gorodperm.ru/" TargetMode="External"/><Relationship Id="rId16" Type="http://schemas.openxmlformats.org/officeDocument/2006/relationships/hyperlink" Target="http://www.gorodperm.ru/" TargetMode="External"/><Relationship Id="rId17" Type="http://schemas.openxmlformats.org/officeDocument/2006/relationships/hyperlink" Target="mailto:perm-mail@ural.rt.ru" TargetMode="External"/><Relationship Id="rId18" Type="http://schemas.openxmlformats.org/officeDocument/2006/relationships/hyperlink" Target="mailto:perm-mail@ural.rt.ru." TargetMode="External"/><Relationship Id="rId19" Type="http://schemas.openxmlformats.org/officeDocument/2006/relationships/hyperlink" Target="http://www.gorodperm.ru/" TargetMode="External"/><Relationship Id="rId20" Type="http://schemas.openxmlformats.org/officeDocument/2006/relationships/hyperlink" Target="http://www.gorodperm.ru/" TargetMode="External"/><Relationship Id="rId21" Type="http://schemas.openxmlformats.org/officeDocument/2006/relationships/hyperlink" Target="http://utp.sberbank-ast.ru/AP/Notice/653/Requisites"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860</TotalTime>
  <Application>LibreOffice/7.6.7.2$Linux_X86_64 LibreOffice_project/60$Build-2</Application>
  <AppVersion>15.0000</AppVersion>
  <Pages>48</Pages>
  <Words>14958</Words>
  <Characters>106914</Characters>
  <CharactersWithSpaces>121638</CharactersWithSpaces>
  <Paragraphs>709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2023-10-30T09:15:00Z</dcterms:created>
  <dc:creator>Tatyannikova</dc:creator>
  <dc:description/>
  <dc:language>ru-RU</dc:language>
  <cp:lastModifiedBy/>
  <dcterms:modified xsi:type="dcterms:W3CDTF">2025-10-30T15:42:46Z</dcterms:modified>
  <cp:revision>316</cp:revision>
  <dc:subject/>
  <dc:title>Департамент имущественных отношений администрации города Перми</dc:title>
</cp:coreProperties>
</file>

<file path=docProps/custom.xml><?xml version="1.0" encoding="utf-8"?>
<Properties xmlns="http://schemas.openxmlformats.org/officeDocument/2006/custom-properties" xmlns:vt="http://schemas.openxmlformats.org/officeDocument/2006/docPropsVTypes"/>
</file>