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ind w:firstLine="0"/>
        <w:spacing w:line="280" w:lineRule="exact"/>
        <w:rPr>
          <w:b w:val="0"/>
          <w:szCs w:val="24"/>
        </w:rPr>
        <w:outlineLvl w:val="0"/>
      </w:pPr>
      <w:r>
        <w:rPr>
          <w:b w:val="0"/>
          <w:szCs w:val="24"/>
        </w:rPr>
        <w:t xml:space="preserve">Департамент имущественных отношений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администрации г</w:t>
      </w:r>
      <w:r>
        <w:rPr>
          <w:b w:val="0"/>
          <w:szCs w:val="24"/>
        </w:rPr>
        <w:t xml:space="preserve">орода</w:t>
      </w:r>
      <w:r>
        <w:rPr>
          <w:b w:val="0"/>
          <w:szCs w:val="24"/>
        </w:rPr>
        <w:t xml:space="preserve"> Перми</w:t>
      </w:r>
      <w:r>
        <w:rPr>
          <w:b w:val="0"/>
          <w:szCs w:val="24"/>
        </w:rPr>
      </w:r>
      <w:r/>
    </w:p>
    <w:p>
      <w:pPr>
        <w:pStyle w:val="959"/>
        <w:ind w:firstLine="0"/>
        <w:spacing w:line="280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  <w:r/>
    </w:p>
    <w:p>
      <w:pPr>
        <w:pStyle w:val="952"/>
        <w:jc w:val="center"/>
        <w:rPr>
          <w:b/>
        </w:rPr>
      </w:pPr>
      <w:r>
        <w:rPr>
          <w:b/>
        </w:rPr>
        <w:t xml:space="preserve">ПРОТОКОЛ</w:t>
      </w:r>
      <w:r>
        <w:rPr>
          <w:b/>
        </w:rPr>
      </w:r>
      <w:r/>
    </w:p>
    <w:p>
      <w:pPr>
        <w:pStyle w:val="981"/>
        <w:ind w:firstLine="0"/>
        <w:jc w:val="center"/>
        <w:spacing w:line="240" w:lineRule="exact"/>
        <w:widowControl/>
        <w:rPr>
          <w:rStyle w:val="982"/>
          <w:color w:val="000000"/>
          <w:sz w:val="24"/>
          <w:szCs w:val="24"/>
        </w:rPr>
      </w:pPr>
      <w:r>
        <w:rPr>
          <w:rStyle w:val="982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982"/>
          <w:color w:val="000000"/>
          <w:sz w:val="24"/>
          <w:szCs w:val="24"/>
        </w:rPr>
      </w:r>
      <w:r/>
    </w:p>
    <w:p>
      <w:pPr>
        <w:pStyle w:val="959"/>
        <w:ind w:firstLine="0"/>
        <w:spacing w:line="280" w:lineRule="exac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/>
    </w:p>
    <w:p>
      <w:pPr>
        <w:pStyle w:val="952"/>
        <w:jc w:val="both"/>
        <w:spacing w:line="280" w:lineRule="exact"/>
      </w:pPr>
      <w:r>
        <w:t xml:space="preserve">г.</w:t>
      </w:r>
      <w:r>
        <w:t xml:space="preserve"> </w:t>
      </w:r>
      <w:r>
        <w:t xml:space="preserve">Пермь</w:t>
        <w:tab/>
        <w:t xml:space="preserve">                                                                  </w:t>
      </w:r>
      <w:r>
        <w:t xml:space="preserve">         </w:t>
      </w:r>
      <w:r>
        <w:t xml:space="preserve">               </w:t>
      </w:r>
      <w:r>
        <w:t xml:space="preserve">           </w:t>
      </w:r>
      <w:r>
        <w:t xml:space="preserve">        </w:t>
      </w:r>
      <w:r>
        <w:t xml:space="preserve">          </w:t>
      </w:r>
      <w:r>
        <w:t xml:space="preserve">   </w:t>
      </w:r>
      <w:r>
        <w:t xml:space="preserve">31.10.2025</w:t>
      </w:r>
      <w:r/>
    </w:p>
    <w:p>
      <w:pPr>
        <w:pStyle w:val="952"/>
        <w:jc w:val="both"/>
        <w:spacing w:line="280" w:lineRule="exact"/>
      </w:pPr>
      <w:r>
        <w:t xml:space="preserve">             </w:t>
      </w:r>
      <w:r/>
    </w:p>
    <w:p>
      <w:pPr>
        <w:pStyle w:val="981"/>
        <w:ind w:firstLine="709"/>
        <w:jc w:val="both"/>
        <w:spacing w:line="240" w:lineRule="auto"/>
        <w:widowControl/>
      </w:pPr>
      <w:r>
        <w:rPr>
          <w:rStyle w:val="982"/>
          <w:b w:val="0"/>
          <w:color w:val="000000"/>
          <w:sz w:val="24"/>
          <w:szCs w:val="24"/>
        </w:rPr>
        <w:t xml:space="preserve">Комисси</w:t>
      </w:r>
      <w:r>
        <w:rPr>
          <w:rStyle w:val="982"/>
          <w:b w:val="0"/>
          <w:color w:val="000000"/>
          <w:sz w:val="24"/>
          <w:szCs w:val="24"/>
        </w:rPr>
        <w:t xml:space="preserve">я</w:t>
      </w:r>
      <w:r>
        <w:rPr>
          <w:rStyle w:val="982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t xml:space="preserve">, утвержденная приказом начальника департамента имущественных отношений администрации города Перми от </w:t>
      </w:r>
      <w:r>
        <w:t xml:space="preserve">22.08.2022</w:t>
      </w:r>
      <w:r>
        <w:t xml:space="preserve"> № </w:t>
      </w:r>
      <w:r>
        <w:t xml:space="preserve">059-19-01-11-113</w:t>
      </w:r>
      <w:r>
        <w:t xml:space="preserve"> (в ред. от 09.08.2024)</w:t>
      </w:r>
      <w:r>
        <w:t xml:space="preserve">, в составе:</w:t>
      </w:r>
      <w:r/>
    </w:p>
    <w:p>
      <w:pPr>
        <w:pStyle w:val="981"/>
        <w:ind w:firstLine="709"/>
        <w:jc w:val="both"/>
        <w:spacing w:line="240" w:lineRule="exact"/>
        <w:widowControl/>
      </w:pPr>
      <w:r/>
      <w:r/>
    </w:p>
    <w:p>
      <w:pPr>
        <w:pStyle w:val="960"/>
        <w:ind w:left="851"/>
        <w:jc w:val="both"/>
        <w:tabs>
          <w:tab w:val="left" w:pos="708" w:leader="none"/>
        </w:tabs>
      </w:pPr>
      <w:r>
        <w:rPr>
          <w:sz w:val="24"/>
          <w:szCs w:val="24"/>
          <w:lang w:val="ru-RU"/>
        </w:rPr>
        <w:t xml:space="preserve">Х</w:t>
      </w:r>
      <w:r>
        <w:rPr>
          <w:sz w:val="24"/>
          <w:szCs w:val="24"/>
          <w:lang w:val="ru-RU"/>
        </w:rPr>
        <w:t xml:space="preserve">аткевича А.А., начальника департамента;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960"/>
        <w:ind w:left="851"/>
        <w:jc w:val="both"/>
        <w:tabs>
          <w:tab w:val="left" w:pos="708" w:leader="none"/>
        </w:tabs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960"/>
        <w:ind w:left="851"/>
        <w:jc w:val="both"/>
        <w:tabs>
          <w:tab w:val="left" w:pos="708" w:leader="none"/>
        </w:tabs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960"/>
        <w:ind w:left="851"/>
        <w:jc w:val="both"/>
        <w:tabs>
          <w:tab w:val="left" w:pos="708" w:leader="none"/>
        </w:tabs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0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ind w:firstLine="0"/>
        <w:jc w:val="both"/>
        <w:spacing w:line="240" w:lineRule="auto"/>
        <w:widowControl/>
      </w:pPr>
      <w:r/>
      <w:r/>
    </w:p>
    <w:p>
      <w:pPr>
        <w:pStyle w:val="960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/>
    </w:p>
    <w:p>
      <w:pPr>
        <w:pStyle w:val="960"/>
        <w:ind w:left="0"/>
        <w:tabs>
          <w:tab w:val="left" w:pos="70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  <w:highlight w:val="none"/>
        </w:rPr>
      </w:r>
      <w:r/>
    </w:p>
    <w:p>
      <w:pPr>
        <w:pStyle w:val="960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05.11</w:t>
      </w:r>
      <w:r>
        <w:rPr>
          <w:sz w:val="24"/>
          <w:szCs w:val="24"/>
          <w:lang w:val="ru-RU"/>
        </w:rPr>
        <w:t xml:space="preserve">.2025</w:t>
      </w:r>
      <w:r>
        <w:rPr>
          <w:sz w:val="24"/>
          <w:szCs w:val="24"/>
          <w:lang w:val="ru-RU"/>
        </w:rPr>
      </w:r>
      <w:r/>
    </w:p>
    <w:p>
      <w:pPr>
        <w:pStyle w:val="960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/>
    </w:p>
    <w:p>
      <w:pPr>
        <w:pStyle w:val="952"/>
        <w:jc w:val="both"/>
        <w:rPr>
          <w:highlight w:val="none"/>
        </w:rPr>
      </w:pPr>
      <w:r>
        <w:rPr>
          <w:b/>
        </w:rPr>
        <w:t xml:space="preserve">по лоту № 1 </w:t>
      </w:r>
      <w:r>
        <w:t xml:space="preserve">–</w:t>
      </w:r>
      <w:r>
        <w:t xml:space="preserve"> 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95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Встроенн</w:t>
      </w:r>
      <w:r>
        <w:rPr>
          <w:shd w:val="clear" w:color="auto" w:fill="ffffff"/>
        </w:rPr>
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shd w:val="clear" w:color="auto" w:fill="ffffff"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pStyle w:val="952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2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/>
    </w:p>
    <w:p>
      <w:pPr>
        <w:pStyle w:val="952"/>
        <w:jc w:val="both"/>
      </w:pPr>
      <w:r/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3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Встроенные нежилые помещения общей площадью 14 кв. м (кадастровый номер 59:01:2912530:2250) в подвале 5-этажного многоквартирного дом</w:t>
      </w:r>
      <w:r>
        <w:t xml:space="preserve">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pStyle w:val="952"/>
        <w:jc w:val="both"/>
      </w:pPr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4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pStyle w:val="952"/>
        <w:jc w:val="both"/>
      </w:pPr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b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ind w:firstLine="708"/>
        <w:jc w:val="both"/>
      </w:pPr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В</w:t>
      </w:r>
      <w:r>
        <w:rPr>
          <w:rFonts w:ascii="Times New Roman" w:hAnsi="Times New Roman" w:cs="Times New Roman"/>
        </w:rPr>
        <w:t xml:space="preserve">строен</w:t>
      </w:r>
      <w:r>
        <w:rPr>
          <w:rFonts w:ascii="Times New Roman" w:hAnsi="Times New Roman" w:cs="Times New Roman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lang w:eastAsia="en-US"/>
        </w:rPr>
      </w:r>
      <w:r/>
    </w:p>
    <w:p>
      <w:pPr>
        <w:pStyle w:val="952"/>
        <w:jc w:val="both"/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  <w:r/>
    </w:p>
    <w:p>
      <w:pPr>
        <w:pStyle w:val="952"/>
        <w:jc w:val="both"/>
        <w:rPr>
          <w:b/>
          <w:bCs/>
        </w:rPr>
      </w:pPr>
      <w:r/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7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Встроен</w:t>
      </w:r>
      <w:r>
        <w:t xml:space="preserve">ные нежилые помещения общей площадью 116,2 кв. м (кадастровый номер 59:01:1713044:1696)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b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pStyle w:val="952"/>
        <w:jc w:val="both"/>
      </w:pPr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8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  <w:rPr>
          <w:b/>
        </w:rPr>
      </w:pPr>
      <w:r>
        <w:t xml:space="preserve">Встрое</w:t>
      </w:r>
      <w:r>
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b/>
        </w:rPr>
      </w:r>
      <w:r/>
    </w:p>
    <w:p>
      <w:pPr>
        <w:pStyle w:val="95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</w:pPr>
      <w:r>
        <w:t xml:space="preserve">Заявки не поступили.</w:t>
      </w:r>
      <w:r/>
    </w:p>
    <w:p>
      <w:pPr>
        <w:jc w:val="both"/>
      </w:pPr>
      <w:r/>
      <w:r/>
    </w:p>
    <w:p>
      <w:pPr>
        <w:pStyle w:val="952"/>
        <w:jc w:val="both"/>
        <w:rPr>
          <w:b/>
          <w:bCs/>
          <w:highlight w:val="none"/>
        </w:rPr>
      </w:pPr>
      <w:r>
        <w:rPr>
          <w:b/>
        </w:rPr>
        <w:t xml:space="preserve">по лоту № 9</w:t>
      </w:r>
      <w:r>
        <w:rPr>
          <w:b/>
        </w:rPr>
        <w:t xml:space="preserve"> – 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2"/>
        <w:jc w:val="both"/>
      </w:pPr>
      <w:r/>
      <w:r>
        <w:rPr>
          <w:rFonts w:ascii="Times New Roman" w:hAnsi="Times New Roman" w:cs="Times New Roman"/>
        </w:rPr>
        <w:t xml:space="preserve">Встрое</w:t>
      </w:r>
      <w:r>
        <w:rPr>
          <w:rFonts w:ascii="Times New Roman" w:hAnsi="Times New Roman" w:cs="Times New Roman"/>
        </w:rPr>
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/>
      <w:r/>
      <w:r/>
    </w:p>
    <w:p>
      <w:pPr>
        <w:pStyle w:val="952"/>
        <w:jc w:val="both"/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52"/>
        <w:jc w:val="both"/>
        <w:rPr>
          <w:b/>
          <w:bCs/>
        </w:rPr>
      </w:pPr>
      <w:r>
        <w:t xml:space="preserve">Заявки не поступили.</w:t>
      </w: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952"/>
        <w:jc w:val="both"/>
      </w:pPr>
      <w:r/>
      <w:r/>
    </w:p>
    <w:p>
      <w:pPr>
        <w:pStyle w:val="952"/>
        <w:ind w:firstLine="708"/>
        <w:jc w:val="both"/>
      </w:pPr>
      <w:r>
        <w:t xml:space="preserve">Комиссия решила: </w:t>
      </w:r>
      <w:r/>
    </w:p>
    <w:p>
      <w:pPr>
        <w:pStyle w:val="963"/>
        <w:numPr>
          <w:ilvl w:val="0"/>
          <w:numId w:val="40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несостоявшимся по лотам № 1-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в связи с тем, что на участие в аукционе по данным лотам не поступило ни одной заявки.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2"/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</w:tabs>
      </w:pPr>
      <w:r>
        <w:rPr>
          <w:lang w:val="en-US" w:eastAsia="en-US"/>
        </w:rPr>
        <w:t xml:space="preserve">Члены комиссии:</w:t>
      </w:r>
      <w:r>
        <w:rPr>
          <w:lang w:eastAsia="en-US"/>
        </w:rPr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5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</w:tabs>
      </w:pPr>
      <w:r>
        <w:rPr>
          <w:lang w:eastAsia="en-US"/>
        </w:rPr>
        <w:tab/>
        <w:t xml:space="preserve">А.В. Соснин</w:t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2295" w:leader="none"/>
          <w:tab w:val="left" w:pos="7655" w:leader="none"/>
        </w:tabs>
      </w:pPr>
      <w:r>
        <w:rPr>
          <w:lang w:eastAsia="en-US"/>
        </w:rPr>
        <w:tab/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/>
    </w:p>
    <w:p>
      <w:pPr>
        <w:pStyle w:val="952"/>
        <w:jc w:val="both"/>
        <w:tabs>
          <w:tab w:val="left" w:pos="2295" w:leader="none"/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2295" w:leader="none"/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2295" w:leader="none"/>
          <w:tab w:val="left" w:pos="7655" w:leader="none"/>
        </w:tabs>
      </w:pPr>
      <w:r>
        <w:rPr>
          <w:lang w:eastAsia="en-US"/>
        </w:rPr>
        <w:tab/>
        <w:tab/>
        <w:t xml:space="preserve">Е.В. Доценко</w:t>
      </w:r>
      <w:r>
        <w:rPr>
          <w:lang w:eastAsia="en-US"/>
        </w:rPr>
      </w:r>
      <w:r/>
    </w:p>
    <w:p>
      <w:pPr>
        <w:pStyle w:val="952"/>
        <w:jc w:val="both"/>
        <w:tabs>
          <w:tab w:val="left" w:pos="2295" w:leader="none"/>
          <w:tab w:val="left" w:pos="7655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jc w:val="both"/>
        <w:tabs>
          <w:tab w:val="left" w:pos="7655" w:leader="none"/>
          <w:tab w:val="left" w:pos="7797" w:leader="none"/>
        </w:tabs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52"/>
        <w:ind w:left="7654" w:right="0" w:hanging="7799"/>
        <w:tabs>
          <w:tab w:val="left" w:pos="7825" w:leader="none"/>
        </w:tabs>
        <w:rPr>
          <w:bCs/>
          <w:color w:val="000000"/>
        </w:rPr>
      </w:pPr>
      <w:r>
        <w:rPr>
          <w:lang w:eastAsia="en-US"/>
        </w:rPr>
        <w:tab/>
      </w:r>
      <w:r>
        <w:rPr>
          <w:lang w:eastAsia="en-US"/>
        </w:rPr>
        <w:t xml:space="preserve">Е.Ю. Селезнева</w:t>
      </w:r>
      <w:r/>
      <w:r/>
      <w:r>
        <w:rPr>
          <w:bCs/>
          <w:color w:val="000000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rPr>
        <w:rStyle w:val="966"/>
      </w:rPr>
      <w:framePr w:wrap="around" w:vAnchor="text" w:hAnchor="margin" w:xAlign="right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separate"/>
    </w:r>
    <w:r>
      <w:rPr>
        <w:rStyle w:val="966"/>
      </w:rPr>
      <w:t xml:space="preserve">2</w:t>
    </w:r>
    <w:r>
      <w:rPr>
        <w:rStyle w:val="966"/>
      </w:rPr>
      <w:fldChar w:fldCharType="end"/>
    </w:r>
    <w:r>
      <w:rPr>
        <w:rStyle w:val="966"/>
      </w:rPr>
    </w:r>
    <w:r/>
  </w:p>
  <w:p>
    <w:pPr>
      <w:pStyle w:val="96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rPr>
        <w:rStyle w:val="966"/>
      </w:rPr>
      <w:framePr w:wrap="around" w:vAnchor="text" w:hAnchor="margin" w:xAlign="right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>
      <w:rPr>
        <w:rStyle w:val="966"/>
      </w:rPr>
    </w:r>
    <w:r/>
  </w:p>
  <w:p>
    <w:pPr>
      <w:pStyle w:val="9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2"/>
    <w:next w:val="95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2"/>
    <w:next w:val="952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2"/>
    <w:next w:val="952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52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link w:val="806"/>
    <w:uiPriority w:val="35"/>
    <w:rPr>
      <w:b/>
      <w:bCs/>
      <w:color w:val="4f81bd" w:themeColor="accent1"/>
      <w:sz w:val="18"/>
      <w:szCs w:val="18"/>
    </w:rPr>
  </w:style>
  <w:style w:type="table" w:styleId="8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next w:val="952"/>
    <w:link w:val="952"/>
    <w:qFormat/>
    <w:rPr>
      <w:sz w:val="24"/>
      <w:szCs w:val="24"/>
      <w:lang w:val="ru-RU" w:eastAsia="ru-RU" w:bidi="ar-SA"/>
    </w:rPr>
  </w:style>
  <w:style w:type="paragraph" w:styleId="953">
    <w:name w:val="Заголовок 1"/>
    <w:basedOn w:val="952"/>
    <w:next w:val="952"/>
    <w:link w:val="980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54">
    <w:name w:val="Заголовок 3"/>
    <w:basedOn w:val="952"/>
    <w:next w:val="952"/>
    <w:link w:val="952"/>
    <w:qFormat/>
    <w:pPr>
      <w:jc w:val="both"/>
      <w:keepNext/>
      <w:outlineLvl w:val="2"/>
    </w:pPr>
    <w:rPr>
      <w:b/>
      <w:bCs/>
    </w:rPr>
  </w:style>
  <w:style w:type="paragraph" w:styleId="955">
    <w:name w:val="Заголовок 4"/>
    <w:basedOn w:val="952"/>
    <w:next w:val="952"/>
    <w:link w:val="952"/>
    <w:qFormat/>
    <w:pPr>
      <w:jc w:val="both"/>
      <w:keepNext/>
      <w:outlineLvl w:val="3"/>
    </w:pPr>
    <w:rPr>
      <w:sz w:val="28"/>
    </w:rPr>
  </w:style>
  <w:style w:type="character" w:styleId="956">
    <w:name w:val="Основной шрифт абзаца"/>
    <w:next w:val="956"/>
    <w:link w:val="952"/>
    <w:semiHidden/>
  </w:style>
  <w:style w:type="table" w:styleId="957">
    <w:name w:val="Обычная таблица"/>
    <w:next w:val="957"/>
    <w:link w:val="952"/>
    <w:semiHidden/>
    <w:tblPr/>
  </w:style>
  <w:style w:type="numbering" w:styleId="958">
    <w:name w:val="Нет списка"/>
    <w:next w:val="958"/>
    <w:link w:val="952"/>
    <w:semiHidden/>
  </w:style>
  <w:style w:type="paragraph" w:styleId="959">
    <w:name w:val="Название"/>
    <w:basedOn w:val="952"/>
    <w:next w:val="959"/>
    <w:link w:val="952"/>
    <w:qFormat/>
    <w:pPr>
      <w:ind w:firstLine="567"/>
      <w:jc w:val="center"/>
    </w:pPr>
    <w:rPr>
      <w:b/>
      <w:szCs w:val="20"/>
    </w:rPr>
  </w:style>
  <w:style w:type="paragraph" w:styleId="960">
    <w:name w:val="Основной текст с отступом"/>
    <w:basedOn w:val="952"/>
    <w:next w:val="960"/>
    <w:link w:val="974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61">
    <w:name w:val="Основной текст с отступом 2"/>
    <w:basedOn w:val="952"/>
    <w:next w:val="961"/>
    <w:link w:val="952"/>
    <w:pPr>
      <w:ind w:left="4962" w:hanging="4395"/>
      <w:jc w:val="both"/>
    </w:pPr>
    <w:rPr>
      <w:szCs w:val="20"/>
    </w:rPr>
  </w:style>
  <w:style w:type="paragraph" w:styleId="962">
    <w:name w:val="Основной текст с отступом 3"/>
    <w:basedOn w:val="952"/>
    <w:next w:val="962"/>
    <w:link w:val="973"/>
    <w:pPr>
      <w:ind w:firstLine="567"/>
      <w:jc w:val="both"/>
    </w:pPr>
    <w:rPr>
      <w:szCs w:val="20"/>
      <w:lang w:val="en-US" w:eastAsia="en-US"/>
    </w:rPr>
  </w:style>
  <w:style w:type="paragraph" w:styleId="963">
    <w:name w:val="Текст"/>
    <w:basedOn w:val="952"/>
    <w:next w:val="963"/>
    <w:link w:val="972"/>
    <w:rPr>
      <w:rFonts w:ascii="Courier New" w:hAnsi="Courier New"/>
      <w:sz w:val="20"/>
      <w:szCs w:val="20"/>
    </w:rPr>
  </w:style>
  <w:style w:type="paragraph" w:styleId="964">
    <w:name w:val="Основной текст"/>
    <w:basedOn w:val="952"/>
    <w:next w:val="964"/>
    <w:link w:val="975"/>
    <w:pPr>
      <w:jc w:val="right"/>
    </w:pPr>
    <w:rPr>
      <w:sz w:val="28"/>
      <w:lang w:val="en-US" w:eastAsia="en-US"/>
    </w:rPr>
  </w:style>
  <w:style w:type="paragraph" w:styleId="965">
    <w:name w:val="Нижний колонтитул"/>
    <w:basedOn w:val="952"/>
    <w:next w:val="965"/>
    <w:link w:val="952"/>
    <w:pPr>
      <w:tabs>
        <w:tab w:val="center" w:pos="4677" w:leader="none"/>
        <w:tab w:val="right" w:pos="9355" w:leader="none"/>
      </w:tabs>
    </w:pPr>
  </w:style>
  <w:style w:type="character" w:styleId="966">
    <w:name w:val="Номер страницы"/>
    <w:basedOn w:val="956"/>
    <w:next w:val="966"/>
    <w:link w:val="952"/>
  </w:style>
  <w:style w:type="paragraph" w:styleId="967">
    <w:name w:val="Знак Знак Знак Знак Знак Знак Знак Знак Знак Знак Знак Знак"/>
    <w:basedOn w:val="952"/>
    <w:next w:val="967"/>
    <w:link w:val="952"/>
    <w:rPr>
      <w:rFonts w:ascii="Verdana" w:hAnsi="Verdana" w:cs="Verdana"/>
      <w:sz w:val="20"/>
      <w:szCs w:val="20"/>
      <w:lang w:val="en-US" w:eastAsia="en-US"/>
    </w:rPr>
  </w:style>
  <w:style w:type="paragraph" w:styleId="968">
    <w:name w:val="Основной текст 2"/>
    <w:basedOn w:val="952"/>
    <w:next w:val="968"/>
    <w:link w:val="976"/>
    <w:pPr>
      <w:spacing w:after="120" w:line="480" w:lineRule="auto"/>
    </w:pPr>
    <w:rPr>
      <w:lang w:val="en-US" w:eastAsia="en-US"/>
    </w:rPr>
  </w:style>
  <w:style w:type="paragraph" w:styleId="969">
    <w:name w:val=" Знак Знак Знак Знак Знак Знак Знак Знак Знак Знак Знак Знак"/>
    <w:basedOn w:val="952"/>
    <w:next w:val="969"/>
    <w:link w:val="952"/>
    <w:rPr>
      <w:rFonts w:ascii="Verdana" w:hAnsi="Verdana" w:cs="Verdana"/>
      <w:sz w:val="20"/>
      <w:szCs w:val="20"/>
      <w:lang w:val="en-US" w:eastAsia="en-US"/>
    </w:rPr>
  </w:style>
  <w:style w:type="table" w:styleId="970">
    <w:name w:val="Сетка таблицы"/>
    <w:basedOn w:val="957"/>
    <w:next w:val="970"/>
    <w:link w:val="952"/>
    <w:uiPriority w:val="59"/>
    <w:tblPr/>
  </w:style>
  <w:style w:type="paragraph" w:styleId="971">
    <w:name w:val="Текст выноски"/>
    <w:basedOn w:val="952"/>
    <w:next w:val="971"/>
    <w:link w:val="952"/>
    <w:semiHidden/>
    <w:rPr>
      <w:rFonts w:ascii="Tahoma" w:hAnsi="Tahoma" w:cs="Tahoma"/>
      <w:sz w:val="16"/>
      <w:szCs w:val="16"/>
    </w:rPr>
  </w:style>
  <w:style w:type="character" w:styleId="972">
    <w:name w:val="Текст Знак"/>
    <w:next w:val="972"/>
    <w:link w:val="963"/>
    <w:rPr>
      <w:rFonts w:ascii="Courier New" w:hAnsi="Courier New"/>
      <w:lang w:val="ru-RU" w:eastAsia="ru-RU" w:bidi="ar-SA"/>
    </w:rPr>
  </w:style>
  <w:style w:type="character" w:styleId="973">
    <w:name w:val="Основной текст с отступом 3 Знак"/>
    <w:next w:val="973"/>
    <w:link w:val="962"/>
    <w:rPr>
      <w:sz w:val="24"/>
    </w:rPr>
  </w:style>
  <w:style w:type="character" w:styleId="974">
    <w:name w:val="Основной текст с отступом Знак"/>
    <w:next w:val="974"/>
    <w:link w:val="960"/>
    <w:rPr>
      <w:sz w:val="28"/>
      <w:szCs w:val="28"/>
    </w:rPr>
  </w:style>
  <w:style w:type="character" w:styleId="975">
    <w:name w:val="Основной текст Знак"/>
    <w:next w:val="975"/>
    <w:link w:val="964"/>
    <w:rPr>
      <w:sz w:val="28"/>
      <w:szCs w:val="24"/>
    </w:rPr>
  </w:style>
  <w:style w:type="character" w:styleId="976">
    <w:name w:val="Основной текст 2 Знак"/>
    <w:next w:val="976"/>
    <w:link w:val="968"/>
    <w:rPr>
      <w:sz w:val="24"/>
      <w:szCs w:val="24"/>
    </w:rPr>
  </w:style>
  <w:style w:type="paragraph" w:styleId="977">
    <w:name w:val="ConsPlusNormal"/>
    <w:next w:val="977"/>
    <w:link w:val="952"/>
    <w:rPr>
      <w:b/>
      <w:bCs/>
      <w:sz w:val="28"/>
      <w:szCs w:val="28"/>
      <w:lang w:val="ru-RU" w:eastAsia="ru-RU" w:bidi="ar-SA"/>
    </w:rPr>
  </w:style>
  <w:style w:type="paragraph" w:styleId="978">
    <w:name w:val="Верхний колонтитул"/>
    <w:basedOn w:val="952"/>
    <w:next w:val="978"/>
    <w:link w:val="979"/>
    <w:pPr>
      <w:tabs>
        <w:tab w:val="center" w:pos="4677" w:leader="none"/>
        <w:tab w:val="right" w:pos="9355" w:leader="none"/>
      </w:tabs>
    </w:pPr>
  </w:style>
  <w:style w:type="character" w:styleId="979">
    <w:name w:val="Верхний колонтитул Знак"/>
    <w:next w:val="979"/>
    <w:link w:val="978"/>
    <w:rPr>
      <w:sz w:val="24"/>
      <w:szCs w:val="24"/>
    </w:rPr>
  </w:style>
  <w:style w:type="character" w:styleId="980">
    <w:name w:val="Заголовок 1 Знак"/>
    <w:next w:val="980"/>
    <w:link w:val="953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81">
    <w:name w:val="Style2"/>
    <w:basedOn w:val="952"/>
    <w:next w:val="981"/>
    <w:link w:val="952"/>
    <w:pPr>
      <w:ind w:firstLine="192"/>
      <w:spacing w:line="230" w:lineRule="exact"/>
      <w:widowControl w:val="off"/>
    </w:pPr>
  </w:style>
  <w:style w:type="character" w:styleId="982">
    <w:name w:val="Font Style26"/>
    <w:next w:val="982"/>
    <w:link w:val="952"/>
    <w:rPr>
      <w:rFonts w:ascii="Times New Roman" w:hAnsi="Times New Roman" w:cs="Times New Roman"/>
      <w:b/>
      <w:bCs/>
      <w:sz w:val="18"/>
      <w:szCs w:val="18"/>
    </w:rPr>
  </w:style>
  <w:style w:type="paragraph" w:styleId="983">
    <w:name w:val="Style4"/>
    <w:basedOn w:val="952"/>
    <w:next w:val="983"/>
    <w:link w:val="952"/>
    <w:pPr>
      <w:spacing w:line="230" w:lineRule="exact"/>
      <w:widowControl w:val="off"/>
    </w:pPr>
  </w:style>
  <w:style w:type="character" w:styleId="984" w:default="1">
    <w:name w:val="Default Paragraph Font"/>
    <w:uiPriority w:val="1"/>
    <w:semiHidden/>
    <w:unhideWhenUsed/>
  </w:style>
  <w:style w:type="numbering" w:styleId="985" w:default="1">
    <w:name w:val="No List"/>
    <w:uiPriority w:val="99"/>
    <w:semiHidden/>
    <w:unhideWhenUsed/>
  </w:style>
  <w:style w:type="table" w:styleId="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revision>151</cp:revision>
  <dcterms:created xsi:type="dcterms:W3CDTF">2016-06-29T05:17:00Z</dcterms:created>
  <dcterms:modified xsi:type="dcterms:W3CDTF">2025-10-28T04:33:48Z</dcterms:modified>
  <cp:version>983040</cp:version>
</cp:coreProperties>
</file>