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.11.2025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>
          <w:sz w:val="28"/>
          <w:szCs w:val="28"/>
          <w:lang w:eastAsia="en-US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bidi w:val="0"/>
        <w:spacing w:lineRule="auto" w:line="240" w:before="0" w:after="0"/>
        <w:ind w:hanging="2041" w:left="2041" w:right="0"/>
        <w:jc w:val="both"/>
        <w:rPr>
          <w:highlight w:val="none"/>
          <w:shd w:fill="auto" w:val="clear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06.11.2025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SBR012-2510030092), реш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ила: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участок с кадастровым номером 59:01:5010056:23 площадью 1000 кв. м, расположенный по адресу: Российская Федерация, край Пермский, городской округ Пермский, город Пермь, жилой район Ново-Бродовский, улица Ландышевая, з/у 55, для индивидуального жилищного строительства. Разрешенное использование земельного участка – под строительство индивидуального жилого дома.</w:t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/>
      </w:r>
    </w:p>
    <w:tbl>
      <w:tblPr>
        <w:tblW w:w="9921" w:type="dxa"/>
        <w:jc w:val="left"/>
        <w:tblInd w:w="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726"/>
        <w:gridCol w:w="1652"/>
        <w:gridCol w:w="1013"/>
        <w:gridCol w:w="1401"/>
        <w:gridCol w:w="1441"/>
        <w:gridCol w:w="1296"/>
        <w:gridCol w:w="2391"/>
      </w:tblGrid>
      <w:tr>
        <w:trPr/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             о заявителе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Сведения о внесенном задатке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Причина отказа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допуске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к участию</w:t>
            </w:r>
          </w:p>
          <w:p>
            <w:pPr>
              <w:pStyle w:val="Style23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в аукционе</w:t>
            </w:r>
          </w:p>
        </w:tc>
      </w:tr>
      <w:tr>
        <w:trPr/>
        <w:tc>
          <w:tcPr>
            <w:tcW w:w="7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spacing w:lineRule="auto" w:line="276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6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Никитин Петр Игоревич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4927</w:t>
            </w:r>
          </w:p>
        </w:tc>
        <w:tc>
          <w:tcPr>
            <w:tcW w:w="1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lang w:val="en-US" w:eastAsia="en-US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01.11.2025 21:56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kern w:val="0"/>
                <w:sz w:val="28"/>
                <w:szCs w:val="28"/>
                <w:lang w:val="ru-RU" w:eastAsia="ru-RU" w:bidi="ar-SA"/>
              </w:rPr>
              <w:t>00,00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ind w:hanging="0" w:left="0" w:right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lang w:val="ru-RU" w:eastAsia="ru-RU" w:bidi="ar-SA"/>
              </w:rPr>
              <w:t>Отказать            в допуске            к участию          в аукционе</w:t>
            </w:r>
          </w:p>
        </w:tc>
        <w:tc>
          <w:tcPr>
            <w:tcW w:w="2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>
                <w:rFonts w:eastAsia="Droid Sans Fallback" w:cs="Lohit Devanagari"/>
                <w:color w:val="auto"/>
                <w:sz w:val="28"/>
                <w:szCs w:val="28"/>
                <w:u w:val="none"/>
                <w:lang w:val="ru-RU" w:eastAsia="ru-RU" w:bidi="ar-SA"/>
              </w:rPr>
              <w:t>Н</w:t>
            </w:r>
            <w:hyperlink r:id="rId2" w:tgtFrame="https://utp.sberbank-ast.ru/AP/List/DictionaryGISRefusalAdmissionReason/1002109">
              <w:r>
                <w:rPr>
                  <w:rStyle w:val="Hyperlink"/>
                  <w:rFonts w:eastAsia="Droid Sans Fallback" w:cs="Lohit Devanagari"/>
                  <w:color w:val="auto"/>
                  <w:sz w:val="28"/>
                  <w:szCs w:val="28"/>
                  <w:u w:val="none"/>
                  <w:lang w:val="ru-RU" w:eastAsia="ru-RU" w:bidi="ar-SA"/>
                </w:rPr>
                <w:t xml:space="preserve">епоступление задатка на дату рассмотрения заявок на участие                       в аукционе                  </w:t>
              </w:r>
            </w:hyperlink>
            <w:r>
              <w:rPr>
                <w:rStyle w:val="Hyperlink"/>
                <w:rFonts w:eastAsia="Droid Sans Fallback" w:cs="Lohit Devanagari"/>
                <w:color w:val="000000"/>
                <w:kern w:val="0"/>
                <w:sz w:val="28"/>
                <w:szCs w:val="28"/>
                <w:u w:val="none"/>
                <w:lang w:val="ru-RU" w:eastAsia="ru-RU" w:bidi="ar-SA"/>
              </w:rPr>
              <w:t>(ч.8 ст.39.12 Земельного кодекса Российской Федерации).</w:t>
            </w:r>
          </w:p>
          <w:p>
            <w:pPr>
              <w:pStyle w:val="Normal"/>
              <w:spacing w:lineRule="auto" w:line="276"/>
              <w:ind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 xml:space="preserve">Признать аукцион несостоявшимся по лоту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>№ 1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4"/>
          <w:highlight w:val="white"/>
          <w:lang w:val="ru-RU" w:eastAsia="ru-RU" w:bidi="ar-SA"/>
        </w:rPr>
        <w:t xml:space="preserve"> в связи с тем, что по окончании срока подачи заявок на участие в аукционе по данному лоту подана только одна заявка на участие в аукционе, и  на основании результатов рассмотрения заявок на участие  в аукционе принято решение об отказе в допуске заявителя, подавшего указанную заявку,  к участию в аукционе.</w:t>
      </w:r>
    </w:p>
    <w:p>
      <w:pPr>
        <w:pStyle w:val="Normal"/>
        <w:spacing w:lineRule="auto" w:line="276" w:before="0" w:after="0"/>
        <w:jc w:val="both"/>
        <w:rPr>
          <w:b/>
        </w:rPr>
      </w:pPr>
      <w:r>
        <w:rPr>
          <w:b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2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емельный участок с кадастровым номером 59:01:4411069:565 площадью 892 кв. м, расположенный по адресу: Российская Федерация, городской округ Пермский, город Пермь, улица Бахаревская, з/у 30,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3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ый участок с кадастровым номером 59:01:0000000:92710 площадью 678 кв. м, расположенный по адресу: Российская Федерация, Пермский край, городской округ Пермский, город Пермь, улица Новоколхозная, з/у 19а,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4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земельн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ы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й участок с кадастровым номером 59:01:3610003:141 площадью 600 кв. м, расположенный по адресу: Российская Федерация, Пермский край, городской округ Пермский, город Пермь, улица Северная, з/у 4л,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5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льный участок с кадастровым номером 59:01:4211111:125 площадью 1101 кв. м, расположенный по адресу: Российская Федерация, Пермский край, городской округ Пермский, город Пермь, улица Обросова, з/у 67,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6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 участок с кадастровым номером 59:01:3812878:10 площадью 1063 кв. м, расположенный по адресу: Пермский край, г. Пермь, Орджоникидзевский район, ул. Березовая, 2,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7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 с кадастровым номером 59:01:4613893:245 площадью 583 кв. м, расположенный по адресу: Российская Федерация, Пермский край, городской округ Пермский, город Пермь, улица 1-я Красавинская, з/у 15,              с целью строительства индивидуального жилого дома.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8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льный участок с кадастровым номером 59:01:2512464:185 площадью 750 кв. м, расположенный по адресу: Российская Федерация, край Пермский, городской округ Пермский, город Пермь, улица Мачтовая, з/у 29б,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Лот № 9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ельный участок с кадастровым номером 59:01:4019087:1693 площадью 600 кв. м, расположенный по адресу: Российская Федерация, Пермский край, городской округ Пермский, город Пермь, улица Вавилина, з/у 29а, для индивидуального жилищного строительства. Разрешенное использование земельного участка – для индивидуального жилищного строительства (2.1).</w:t>
      </w:r>
    </w:p>
    <w:p>
      <w:pPr>
        <w:pStyle w:val="Normal"/>
        <w:spacing w:lineRule="auto" w:line="276" w:before="0" w:after="0"/>
        <w:ind w:firstLine="708"/>
        <w:jc w:val="both"/>
        <w:rPr>
          <w:sz w:val="28"/>
          <w:szCs w:val="28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spacing w:lineRule="auto" w:line="276"/>
        <w:ind w:hanging="0"/>
        <w:jc w:val="both"/>
        <w:rPr>
          <w:highlight w:val="yellow"/>
          <w:lang w:val="ru-RU" w:eastAsia="ru-RU" w:bidi="ar-SA"/>
        </w:rPr>
      </w:pPr>
      <w:r>
        <w:rPr>
          <w:highlight w:val="yellow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Ю.И. Четина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4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4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tp.sberbank-ast.ru/AP/List/DictionaryGISRefusalAdmissionReason/1002109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LibreOffice/7.6.7.2$Linux_X86_64 LibreOffice_project/60$Build-2</Application>
  <AppVersion>15.0000</AppVersion>
  <Pages>4</Pages>
  <Words>851</Words>
  <Characters>6103</Characters>
  <CharactersWithSpaces>7307</CharactersWithSpaces>
  <Paragraphs>65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2025-11-05T10:23:05Z</dcterms:modified>
  <cp:revision>1094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