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spacing w:line="240" w:lineRule="auto"/>
        <w:rPr>
          <w:rFonts w:ascii="Tahoma" w:hAnsi="Tahoma" w:eastAsia="Times New Roman" w:cs="Tahoma"/>
          <w:sz w:val="24"/>
          <w:szCs w:val="24"/>
        </w:rPr>
        <w:outlineLvl w:val="0"/>
      </w:pPr>
      <w:r>
        <w:rPr>
          <w:sz w:val="24"/>
          <w:szCs w:val="24"/>
        </w:rPr>
      </w:r>
      <w:bookmarkStart w:id="0" w:name="Par602"/>
      <w:r>
        <w:rPr>
          <w:sz w:val="24"/>
          <w:szCs w:val="24"/>
        </w:rPr>
      </w:r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79301</w:t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left="284" w:firstLine="0"/>
        <w:jc w:val="right"/>
        <w:spacing w:line="240" w:lineRule="auto"/>
        <w:rPr>
          <w:rFonts w:ascii="Tahoma" w:hAnsi="Tahoma" w:eastAsia="Times New Roman" w:cs="Tahoma"/>
          <w:sz w:val="24"/>
          <w:szCs w:val="24"/>
        </w:rPr>
        <w:outlineLvl w:val="0"/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left="284" w:firstLine="0"/>
        <w:jc w:val="right"/>
        <w:spacing w:line="240" w:lineRule="auto"/>
        <w:rPr>
          <w:rFonts w:ascii="Tahoma" w:hAnsi="Tahoma" w:eastAsia="Times New Roman" w:cs="Tahoma"/>
          <w:sz w:val="24"/>
          <w:szCs w:val="24"/>
        </w:rPr>
        <w:outlineLvl w:val="0"/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firstLine="0"/>
        <w:jc w:val="center"/>
        <w:spacing w:line="240" w:lineRule="auto"/>
        <w:widowControl w:val="off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</w:r>
      <w:bookmarkStart w:id="1" w:name="Par612"/>
      <w:r>
        <w:rPr>
          <w:sz w:val="24"/>
          <w:szCs w:val="24"/>
        </w:rPr>
      </w:r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ind w:firstLine="0"/>
        <w:jc w:val="center"/>
        <w:spacing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left"/>
        <w:spacing w:line="240" w:lineRule="auto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</w:rPr>
      </w:r>
      <w:r>
        <w:rPr>
          <w:rFonts w:eastAsia="Times New Roman"/>
          <w:bCs/>
          <w:sz w:val="24"/>
          <w:szCs w:val="24"/>
          <w:u w:val="single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в лице ________________, действующего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основании __________________,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с другой стороны, 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600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59:01:3610003:141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Северная, з/у 4л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и оплатить указанное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в территориальной зоне </w:t>
      </w:r>
      <w:r>
        <w:rPr>
          <w:sz w:val="24"/>
          <w:szCs w:val="24"/>
        </w:rPr>
        <w:t xml:space="preserve">индивидуальной </w:t>
      </w:r>
      <w:r>
        <w:rPr>
          <w:sz w:val="24"/>
          <w:szCs w:val="24"/>
        </w:rPr>
        <w:t xml:space="preserve">усадебной</w:t>
      </w:r>
      <w:r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застройки</w:t>
      </w:r>
      <w:r>
        <w:rPr>
          <w:sz w:val="24"/>
          <w:szCs w:val="24"/>
        </w:rPr>
        <w:t xml:space="preserve"> городского типа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(Ж-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</w:t>
      </w:r>
      <w:r>
        <w:rPr>
          <w:sz w:val="24"/>
          <w:szCs w:val="24"/>
        </w:rPr>
        <w:t xml:space="preserve">расположен в зонах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санитарной охраны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</w:pP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она </w:t>
      </w:r>
      <w:r>
        <w:rPr>
          <w:sz w:val="24"/>
          <w:szCs w:val="24"/>
        </w:rPr>
        <w:t xml:space="preserve">санитарной охраны Чусовского </w:t>
      </w:r>
      <w:r>
        <w:rPr>
          <w:sz w:val="24"/>
          <w:szCs w:val="24"/>
        </w:rPr>
        <w:t xml:space="preserve">узла водозаборов (II пояс)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spacing w:line="240" w:lineRule="auto"/>
        <w:rPr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она </w:t>
      </w:r>
      <w:r>
        <w:rPr>
          <w:sz w:val="24"/>
          <w:szCs w:val="24"/>
        </w:rPr>
        <w:t xml:space="preserve">санитарной охраны Чусовского </w:t>
      </w:r>
      <w:r>
        <w:rPr>
          <w:sz w:val="24"/>
          <w:szCs w:val="24"/>
        </w:rPr>
        <w:t xml:space="preserve">узла водозаборов (I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I пояс)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highlight w:val="none"/>
        </w:rPr>
      </w:r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Земельный участок входит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прочие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ограничений: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  <w:t xml:space="preserve">–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водоохранная зона бассейна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Камского водохранилищ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а;</w:t>
      </w:r>
      <w:r>
        <w:rPr>
          <w:highlight w:val="none"/>
        </w:rPr>
      </w:r>
      <w:r>
        <w:rPr>
          <w:highlight w:val="none"/>
        </w:rPr>
      </w:r>
    </w:p>
    <w:p>
      <w:pPr>
        <w:spacing w:line="240" w:lineRule="auto"/>
        <w:rPr>
          <w:sz w:val="24"/>
          <w:szCs w:val="24"/>
        </w:rPr>
      </w:pPr>
      <w:r>
        <w:rPr>
          <w:highlight w:val="none"/>
        </w:rPr>
      </w:r>
      <w:r>
        <w:rPr>
          <w:sz w:val="24"/>
          <w:szCs w:val="24"/>
        </w:rPr>
        <w:t xml:space="preserve">–</w:t>
      </w:r>
      <w:r>
        <w:rPr>
          <w:highlight w:val="none"/>
        </w:rPr>
        <w:t xml:space="preserve"> пр</w:t>
      </w:r>
      <w:r>
        <w:rPr>
          <w:highlight w:val="none"/>
        </w:rPr>
        <w:t xml:space="preserve">ибрежная защитная полоса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Камского водохранилищ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sz w:val="24"/>
          <w:szCs w:val="24"/>
        </w:rPr>
      </w:r>
    </w:p>
    <w:p>
      <w:pPr>
        <w:contextualSpacing/>
        <w:ind w:firstLine="7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</w:t>
      </w:r>
      <w:r>
        <w:rPr>
          <w:rFonts w:eastAsia="Times New Roman"/>
          <w:b/>
          <w:sz w:val="24"/>
          <w:szCs w:val="24"/>
          <w:lang w:eastAsia="ru-RU"/>
        </w:rPr>
        <w:t xml:space="preserve">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>
        <w:rPr>
          <w:sz w:val="24"/>
          <w:szCs w:val="24"/>
        </w:rPr>
      </w:r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>
        <w:rPr>
          <w:sz w:val="24"/>
          <w:szCs w:val="24"/>
        </w:rPr>
      </w:r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</w:r>
      <w:bookmarkStart w:id="5" w:name="Par683"/>
      <w:r>
        <w:rPr>
          <w:sz w:val="24"/>
          <w:szCs w:val="24"/>
        </w:rPr>
      </w:r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</w:r>
      <w:bookmarkStart w:id="6" w:name="Par694"/>
      <w:r>
        <w:rPr>
          <w:sz w:val="24"/>
          <w:szCs w:val="24"/>
        </w:rPr>
      </w:r>
      <w:bookmarkStart w:id="7" w:name="Par699"/>
      <w:r>
        <w:rPr>
          <w:sz w:val="24"/>
          <w:szCs w:val="24"/>
        </w:rPr>
      </w:r>
      <w:bookmarkEnd w:id="6"/>
      <w:r>
        <w:rPr>
          <w:sz w:val="24"/>
          <w:szCs w:val="24"/>
        </w:rPr>
      </w:r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Продавец: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Покупатель: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vAlign w:val="bottom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 (адрес): 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4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84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567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3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31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56">
    <w:name w:val="Heading 1"/>
    <w:basedOn w:val="1826"/>
    <w:next w:val="1826"/>
    <w:link w:val="1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57">
    <w:name w:val="Heading 1 Char"/>
    <w:basedOn w:val="1828"/>
    <w:link w:val="1656"/>
    <w:uiPriority w:val="9"/>
    <w:rPr>
      <w:rFonts w:ascii="Arial" w:hAnsi="Arial" w:eastAsia="Arial" w:cs="Arial"/>
      <w:sz w:val="40"/>
      <w:szCs w:val="40"/>
    </w:rPr>
  </w:style>
  <w:style w:type="paragraph" w:styleId="1658">
    <w:name w:val="Heading 2"/>
    <w:basedOn w:val="1826"/>
    <w:next w:val="1826"/>
    <w:link w:val="1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59">
    <w:name w:val="Heading 2 Char"/>
    <w:basedOn w:val="1828"/>
    <w:link w:val="1658"/>
    <w:uiPriority w:val="9"/>
    <w:rPr>
      <w:rFonts w:ascii="Arial" w:hAnsi="Arial" w:eastAsia="Arial" w:cs="Arial"/>
      <w:sz w:val="34"/>
    </w:rPr>
  </w:style>
  <w:style w:type="character" w:styleId="1660">
    <w:name w:val="Heading 3 Char"/>
    <w:basedOn w:val="1828"/>
    <w:link w:val="1827"/>
    <w:uiPriority w:val="9"/>
    <w:rPr>
      <w:rFonts w:ascii="Arial" w:hAnsi="Arial" w:eastAsia="Arial" w:cs="Arial"/>
      <w:sz w:val="30"/>
      <w:szCs w:val="30"/>
    </w:rPr>
  </w:style>
  <w:style w:type="paragraph" w:styleId="1661">
    <w:name w:val="Heading 4"/>
    <w:basedOn w:val="1826"/>
    <w:next w:val="1826"/>
    <w:link w:val="1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62">
    <w:name w:val="Heading 4 Char"/>
    <w:basedOn w:val="1828"/>
    <w:link w:val="1661"/>
    <w:uiPriority w:val="9"/>
    <w:rPr>
      <w:rFonts w:ascii="Arial" w:hAnsi="Arial" w:eastAsia="Arial" w:cs="Arial"/>
      <w:b/>
      <w:bCs/>
      <w:sz w:val="26"/>
      <w:szCs w:val="26"/>
    </w:rPr>
  </w:style>
  <w:style w:type="paragraph" w:styleId="1663">
    <w:name w:val="Heading 5"/>
    <w:basedOn w:val="1826"/>
    <w:next w:val="1826"/>
    <w:link w:val="1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64">
    <w:name w:val="Heading 5 Char"/>
    <w:basedOn w:val="1828"/>
    <w:link w:val="1663"/>
    <w:uiPriority w:val="9"/>
    <w:rPr>
      <w:rFonts w:ascii="Arial" w:hAnsi="Arial" w:eastAsia="Arial" w:cs="Arial"/>
      <w:b/>
      <w:bCs/>
      <w:sz w:val="24"/>
      <w:szCs w:val="24"/>
    </w:rPr>
  </w:style>
  <w:style w:type="paragraph" w:styleId="1665">
    <w:name w:val="Heading 6"/>
    <w:basedOn w:val="1826"/>
    <w:next w:val="1826"/>
    <w:link w:val="1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66">
    <w:name w:val="Heading 6 Char"/>
    <w:basedOn w:val="1828"/>
    <w:link w:val="1665"/>
    <w:uiPriority w:val="9"/>
    <w:rPr>
      <w:rFonts w:ascii="Arial" w:hAnsi="Arial" w:eastAsia="Arial" w:cs="Arial"/>
      <w:b/>
      <w:bCs/>
      <w:sz w:val="22"/>
      <w:szCs w:val="22"/>
    </w:rPr>
  </w:style>
  <w:style w:type="paragraph" w:styleId="1667">
    <w:name w:val="Heading 7"/>
    <w:basedOn w:val="1826"/>
    <w:next w:val="1826"/>
    <w:link w:val="1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68">
    <w:name w:val="Heading 7 Char"/>
    <w:basedOn w:val="1828"/>
    <w:link w:val="1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69">
    <w:name w:val="Heading 8"/>
    <w:basedOn w:val="1826"/>
    <w:next w:val="1826"/>
    <w:link w:val="1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70">
    <w:name w:val="Heading 8 Char"/>
    <w:basedOn w:val="1828"/>
    <w:link w:val="1669"/>
    <w:uiPriority w:val="9"/>
    <w:rPr>
      <w:rFonts w:ascii="Arial" w:hAnsi="Arial" w:eastAsia="Arial" w:cs="Arial"/>
      <w:i/>
      <w:iCs/>
      <w:sz w:val="22"/>
      <w:szCs w:val="22"/>
    </w:rPr>
  </w:style>
  <w:style w:type="paragraph" w:styleId="1671">
    <w:name w:val="Heading 9"/>
    <w:basedOn w:val="1826"/>
    <w:next w:val="1826"/>
    <w:link w:val="1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72">
    <w:name w:val="Heading 9 Char"/>
    <w:basedOn w:val="1828"/>
    <w:link w:val="1671"/>
    <w:uiPriority w:val="9"/>
    <w:rPr>
      <w:rFonts w:ascii="Arial" w:hAnsi="Arial" w:eastAsia="Arial" w:cs="Arial"/>
      <w:i/>
      <w:iCs/>
      <w:sz w:val="21"/>
      <w:szCs w:val="21"/>
    </w:rPr>
  </w:style>
  <w:style w:type="paragraph" w:styleId="1673">
    <w:name w:val="No Spacing"/>
    <w:uiPriority w:val="1"/>
    <w:qFormat/>
    <w:pPr>
      <w:spacing w:before="0" w:after="0" w:line="240" w:lineRule="auto"/>
    </w:pPr>
  </w:style>
  <w:style w:type="paragraph" w:styleId="1674">
    <w:name w:val="Title"/>
    <w:basedOn w:val="1826"/>
    <w:next w:val="1826"/>
    <w:link w:val="1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75">
    <w:name w:val="Title Char"/>
    <w:basedOn w:val="1828"/>
    <w:link w:val="1674"/>
    <w:uiPriority w:val="10"/>
    <w:rPr>
      <w:sz w:val="48"/>
      <w:szCs w:val="48"/>
    </w:rPr>
  </w:style>
  <w:style w:type="paragraph" w:styleId="1676">
    <w:name w:val="Subtitle"/>
    <w:basedOn w:val="1826"/>
    <w:next w:val="1826"/>
    <w:link w:val="1677"/>
    <w:uiPriority w:val="11"/>
    <w:qFormat/>
    <w:pPr>
      <w:spacing w:before="200" w:after="200"/>
    </w:pPr>
    <w:rPr>
      <w:sz w:val="24"/>
      <w:szCs w:val="24"/>
    </w:rPr>
  </w:style>
  <w:style w:type="character" w:styleId="1677">
    <w:name w:val="Subtitle Char"/>
    <w:basedOn w:val="1828"/>
    <w:link w:val="1676"/>
    <w:uiPriority w:val="11"/>
    <w:rPr>
      <w:sz w:val="24"/>
      <w:szCs w:val="24"/>
    </w:rPr>
  </w:style>
  <w:style w:type="paragraph" w:styleId="1678">
    <w:name w:val="Quote"/>
    <w:basedOn w:val="1826"/>
    <w:next w:val="1826"/>
    <w:link w:val="1679"/>
    <w:uiPriority w:val="29"/>
    <w:qFormat/>
    <w:pPr>
      <w:ind w:left="720" w:right="720"/>
    </w:pPr>
    <w:rPr>
      <w:i/>
    </w:rPr>
  </w:style>
  <w:style w:type="character" w:styleId="1679">
    <w:name w:val="Quote Char"/>
    <w:link w:val="1678"/>
    <w:uiPriority w:val="29"/>
    <w:rPr>
      <w:i/>
    </w:rPr>
  </w:style>
  <w:style w:type="paragraph" w:styleId="1680">
    <w:name w:val="Intense Quote"/>
    <w:basedOn w:val="1826"/>
    <w:next w:val="1826"/>
    <w:link w:val="1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81">
    <w:name w:val="Intense Quote Char"/>
    <w:link w:val="1680"/>
    <w:uiPriority w:val="30"/>
    <w:rPr>
      <w:i/>
    </w:rPr>
  </w:style>
  <w:style w:type="character" w:styleId="1682">
    <w:name w:val="Header Char"/>
    <w:basedOn w:val="1828"/>
    <w:link w:val="1831"/>
    <w:uiPriority w:val="99"/>
  </w:style>
  <w:style w:type="character" w:styleId="1683">
    <w:name w:val="Footer Char"/>
    <w:basedOn w:val="1828"/>
    <w:link w:val="1833"/>
    <w:uiPriority w:val="99"/>
  </w:style>
  <w:style w:type="character" w:styleId="1684">
    <w:name w:val="Caption Char"/>
    <w:basedOn w:val="1847"/>
    <w:link w:val="1833"/>
    <w:uiPriority w:val="99"/>
  </w:style>
  <w:style w:type="table" w:styleId="1685">
    <w:name w:val="Table Grid Light"/>
    <w:basedOn w:val="1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86">
    <w:name w:val="Plain Table 1"/>
    <w:basedOn w:val="1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87">
    <w:name w:val="Plain Table 2"/>
    <w:basedOn w:val="1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88">
    <w:name w:val="Plain Table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89">
    <w:name w:val="Plain Table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0">
    <w:name w:val="Plain Table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91">
    <w:name w:val="Grid Table 1 Light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2">
    <w:name w:val="Grid Table 1 Light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3">
    <w:name w:val="Grid Table 1 Light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Grid Table 1 Light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5">
    <w:name w:val="Grid Table 1 Light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Grid Table 1 Light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>
    <w:name w:val="Grid Table 1 Light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>
    <w:name w:val="Grid Table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9">
    <w:name w:val="Grid Table 2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0">
    <w:name w:val="Grid Table 2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1">
    <w:name w:val="Grid Table 2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2">
    <w:name w:val="Grid Table 2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3">
    <w:name w:val="Grid Table 2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4">
    <w:name w:val="Grid Table 2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5">
    <w:name w:val="Grid Table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6">
    <w:name w:val="Grid Table 3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7">
    <w:name w:val="Grid Table 3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8">
    <w:name w:val="Grid Table 3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9">
    <w:name w:val="Grid Table 3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0">
    <w:name w:val="Grid Table 3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1">
    <w:name w:val="Grid Table 3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2">
    <w:name w:val="Grid Table 4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13">
    <w:name w:val="Grid Table 4 - Accent 1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14">
    <w:name w:val="Grid Table 4 - Accent 2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15">
    <w:name w:val="Grid Table 4 - Accent 3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16">
    <w:name w:val="Grid Table 4 - Accent 4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17">
    <w:name w:val="Grid Table 4 - Accent 5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18">
    <w:name w:val="Grid Table 4 - Accent 6"/>
    <w:basedOn w:val="1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19">
    <w:name w:val="Grid Table 5 Dark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20">
    <w:name w:val="Grid Table 5 Dark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21">
    <w:name w:val="Grid Table 5 Dark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22">
    <w:name w:val="Grid Table 5 Dark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23">
    <w:name w:val="Grid Table 5 Dark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24">
    <w:name w:val="Grid Table 5 Dark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25">
    <w:name w:val="Grid Table 5 Dark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26">
    <w:name w:val="Grid Table 6 Colorful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27">
    <w:name w:val="Grid Table 6 Colorful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28">
    <w:name w:val="Grid Table 6 Colorful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29">
    <w:name w:val="Grid Table 6 Colorful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30">
    <w:name w:val="Grid Table 6 Colorful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31">
    <w:name w:val="Grid Table 6 Colorful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2">
    <w:name w:val="Grid Table 6 Colorful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3">
    <w:name w:val="Grid Table 7 Colorful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4">
    <w:name w:val="Grid Table 7 Colorful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5">
    <w:name w:val="Grid Table 7 Colorful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6">
    <w:name w:val="Grid Table 7 Colorful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7">
    <w:name w:val="Grid Table 7 Colorful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8">
    <w:name w:val="Grid Table 7 Colorful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9">
    <w:name w:val="Grid Table 7 Colorful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0">
    <w:name w:val="List Table 1 Light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1">
    <w:name w:val="List Table 1 Light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2">
    <w:name w:val="List Table 1 Light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3">
    <w:name w:val="List Table 1 Light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4">
    <w:name w:val="List Table 1 Light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>
    <w:name w:val="List Table 1 Light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6">
    <w:name w:val="List Table 1 Light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7">
    <w:name w:val="List Table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48">
    <w:name w:val="List Table 2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49">
    <w:name w:val="List Table 2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50">
    <w:name w:val="List Table 2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51">
    <w:name w:val="List Table 2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52">
    <w:name w:val="List Table 2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53">
    <w:name w:val="List Table 2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54">
    <w:name w:val="List Table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5">
    <w:name w:val="List Table 3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6">
    <w:name w:val="List Table 3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7">
    <w:name w:val="List Table 3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8">
    <w:name w:val="List Table 3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9">
    <w:name w:val="List Table 3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>
    <w:name w:val="List Table 3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>
    <w:name w:val="List Table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>
    <w:name w:val="List Table 4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3">
    <w:name w:val="List Table 4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>
    <w:name w:val="List Table 4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5">
    <w:name w:val="List Table 4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List Table 4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7">
    <w:name w:val="List Table 4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8">
    <w:name w:val="List Table 5 Dark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69">
    <w:name w:val="List Table 5 Dark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0">
    <w:name w:val="List Table 5 Dark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1">
    <w:name w:val="List Table 5 Dark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2">
    <w:name w:val="List Table 5 Dark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3">
    <w:name w:val="List Table 5 Dark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4">
    <w:name w:val="List Table 5 Dark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5">
    <w:name w:val="List Table 6 Colorful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76">
    <w:name w:val="List Table 6 Colorful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77">
    <w:name w:val="List Table 6 Colorful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78">
    <w:name w:val="List Table 6 Colorful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79">
    <w:name w:val="List Table 6 Colorful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80">
    <w:name w:val="List Table 6 Colorful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81">
    <w:name w:val="List Table 6 Colorful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82">
    <w:name w:val="List Table 7 Colorful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83">
    <w:name w:val="List Table 7 Colorful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84">
    <w:name w:val="List Table 7 Colorful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85">
    <w:name w:val="List Table 7 Colorful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86">
    <w:name w:val="List Table 7 Colorful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87">
    <w:name w:val="List Table 7 Colorful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88">
    <w:name w:val="List Table 7 Colorful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89">
    <w:name w:val="Lined - Accent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90">
    <w:name w:val="Lined - Accent 1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91">
    <w:name w:val="Lined - Accent 2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2">
    <w:name w:val="Lined - Accent 3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93">
    <w:name w:val="Lined - Accent 4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94">
    <w:name w:val="Lined - Accent 5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95">
    <w:name w:val="Lined - Accent 6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96">
    <w:name w:val="Bordered &amp; Lined - Accent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97">
    <w:name w:val="Bordered &amp; Lined - Accent 1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98">
    <w:name w:val="Bordered &amp; Lined - Accent 2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9">
    <w:name w:val="Bordered &amp; Lined - Accent 3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800">
    <w:name w:val="Bordered &amp; Lined - Accent 4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801">
    <w:name w:val="Bordered &amp; Lined - Accent 5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02">
    <w:name w:val="Bordered &amp; Lined - Accent 6"/>
    <w:basedOn w:val="1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3">
    <w:name w:val="Bordered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04">
    <w:name w:val="Bordered - Accent 1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05">
    <w:name w:val="Bordered - Accent 2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06">
    <w:name w:val="Bordered - Accent 3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07">
    <w:name w:val="Bordered - Accent 4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08">
    <w:name w:val="Bordered - Accent 5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09">
    <w:name w:val="Bordered - Accent 6"/>
    <w:basedOn w:val="1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10">
    <w:name w:val="Hyperlink"/>
    <w:uiPriority w:val="99"/>
    <w:unhideWhenUsed/>
    <w:rPr>
      <w:color w:val="0000ff" w:themeColor="hyperlink"/>
      <w:u w:val="single"/>
    </w:rPr>
  </w:style>
  <w:style w:type="character" w:styleId="1811">
    <w:name w:val="Footnote Text Char"/>
    <w:link w:val="1837"/>
    <w:uiPriority w:val="99"/>
    <w:rPr>
      <w:sz w:val="18"/>
    </w:rPr>
  </w:style>
  <w:style w:type="paragraph" w:styleId="1812">
    <w:name w:val="endnote text"/>
    <w:basedOn w:val="1826"/>
    <w:link w:val="1813"/>
    <w:uiPriority w:val="99"/>
    <w:semiHidden/>
    <w:unhideWhenUsed/>
    <w:pPr>
      <w:spacing w:after="0" w:line="240" w:lineRule="auto"/>
    </w:pPr>
    <w:rPr>
      <w:sz w:val="20"/>
    </w:rPr>
  </w:style>
  <w:style w:type="character" w:styleId="1813">
    <w:name w:val="Endnote Text Char"/>
    <w:link w:val="1812"/>
    <w:uiPriority w:val="99"/>
    <w:rPr>
      <w:sz w:val="20"/>
    </w:rPr>
  </w:style>
  <w:style w:type="character" w:styleId="1814">
    <w:name w:val="endnote reference"/>
    <w:basedOn w:val="1828"/>
    <w:uiPriority w:val="99"/>
    <w:semiHidden/>
    <w:unhideWhenUsed/>
    <w:rPr>
      <w:vertAlign w:val="superscript"/>
    </w:rPr>
  </w:style>
  <w:style w:type="paragraph" w:styleId="1815">
    <w:name w:val="toc 1"/>
    <w:basedOn w:val="1826"/>
    <w:next w:val="1826"/>
    <w:uiPriority w:val="39"/>
    <w:unhideWhenUsed/>
    <w:pPr>
      <w:ind w:left="0" w:right="0" w:firstLine="0"/>
      <w:spacing w:after="57"/>
    </w:pPr>
  </w:style>
  <w:style w:type="paragraph" w:styleId="1816">
    <w:name w:val="toc 2"/>
    <w:basedOn w:val="1826"/>
    <w:next w:val="1826"/>
    <w:uiPriority w:val="39"/>
    <w:unhideWhenUsed/>
    <w:pPr>
      <w:ind w:left="283" w:right="0" w:firstLine="0"/>
      <w:spacing w:after="57"/>
    </w:pPr>
  </w:style>
  <w:style w:type="paragraph" w:styleId="1817">
    <w:name w:val="toc 3"/>
    <w:basedOn w:val="1826"/>
    <w:next w:val="1826"/>
    <w:uiPriority w:val="39"/>
    <w:unhideWhenUsed/>
    <w:pPr>
      <w:ind w:left="567" w:right="0" w:firstLine="0"/>
      <w:spacing w:after="57"/>
    </w:pPr>
  </w:style>
  <w:style w:type="paragraph" w:styleId="1818">
    <w:name w:val="toc 4"/>
    <w:basedOn w:val="1826"/>
    <w:next w:val="1826"/>
    <w:uiPriority w:val="39"/>
    <w:unhideWhenUsed/>
    <w:pPr>
      <w:ind w:left="850" w:right="0" w:firstLine="0"/>
      <w:spacing w:after="57"/>
    </w:pPr>
  </w:style>
  <w:style w:type="paragraph" w:styleId="1819">
    <w:name w:val="toc 5"/>
    <w:basedOn w:val="1826"/>
    <w:next w:val="1826"/>
    <w:uiPriority w:val="39"/>
    <w:unhideWhenUsed/>
    <w:pPr>
      <w:ind w:left="1134" w:right="0" w:firstLine="0"/>
      <w:spacing w:after="57"/>
    </w:pPr>
  </w:style>
  <w:style w:type="paragraph" w:styleId="1820">
    <w:name w:val="toc 6"/>
    <w:basedOn w:val="1826"/>
    <w:next w:val="1826"/>
    <w:uiPriority w:val="39"/>
    <w:unhideWhenUsed/>
    <w:pPr>
      <w:ind w:left="1417" w:right="0" w:firstLine="0"/>
      <w:spacing w:after="57"/>
    </w:pPr>
  </w:style>
  <w:style w:type="paragraph" w:styleId="1821">
    <w:name w:val="toc 7"/>
    <w:basedOn w:val="1826"/>
    <w:next w:val="1826"/>
    <w:uiPriority w:val="39"/>
    <w:unhideWhenUsed/>
    <w:pPr>
      <w:ind w:left="1701" w:right="0" w:firstLine="0"/>
      <w:spacing w:after="57"/>
    </w:pPr>
  </w:style>
  <w:style w:type="paragraph" w:styleId="1822">
    <w:name w:val="toc 8"/>
    <w:basedOn w:val="1826"/>
    <w:next w:val="1826"/>
    <w:uiPriority w:val="39"/>
    <w:unhideWhenUsed/>
    <w:pPr>
      <w:ind w:left="1984" w:right="0" w:firstLine="0"/>
      <w:spacing w:after="57"/>
    </w:pPr>
  </w:style>
  <w:style w:type="paragraph" w:styleId="1823">
    <w:name w:val="toc 9"/>
    <w:basedOn w:val="1826"/>
    <w:next w:val="1826"/>
    <w:uiPriority w:val="39"/>
    <w:unhideWhenUsed/>
    <w:pPr>
      <w:ind w:left="2268" w:right="0" w:firstLine="0"/>
      <w:spacing w:after="57"/>
    </w:pPr>
  </w:style>
  <w:style w:type="paragraph" w:styleId="1824">
    <w:name w:val="TOC Heading"/>
    <w:uiPriority w:val="39"/>
    <w:unhideWhenUsed/>
  </w:style>
  <w:style w:type="paragraph" w:styleId="1825">
    <w:name w:val="table of figures"/>
    <w:basedOn w:val="1826"/>
    <w:next w:val="1826"/>
    <w:uiPriority w:val="99"/>
    <w:unhideWhenUsed/>
    <w:pPr>
      <w:spacing w:after="0" w:afterAutospacing="0"/>
    </w:pPr>
  </w:style>
  <w:style w:type="paragraph" w:styleId="1826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27">
    <w:name w:val="Heading 3"/>
    <w:basedOn w:val="1826"/>
    <w:next w:val="1826"/>
    <w:link w:val="1842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28" w:default="1">
    <w:name w:val="Default Paragraph Font"/>
    <w:uiPriority w:val="1"/>
    <w:semiHidden/>
    <w:unhideWhenUsed/>
  </w:style>
  <w:style w:type="table" w:styleId="1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30" w:default="1">
    <w:name w:val="No List"/>
    <w:uiPriority w:val="99"/>
    <w:semiHidden/>
    <w:unhideWhenUsed/>
  </w:style>
  <w:style w:type="paragraph" w:styleId="1831">
    <w:name w:val="Header"/>
    <w:basedOn w:val="1826"/>
    <w:link w:val="1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2" w:customStyle="1">
    <w:name w:val="Верхний колонтитул Знак"/>
    <w:basedOn w:val="1828"/>
    <w:link w:val="183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3">
    <w:name w:val="Footer"/>
    <w:basedOn w:val="1826"/>
    <w:link w:val="1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4" w:customStyle="1">
    <w:name w:val="Нижний колонтитул Знак"/>
    <w:basedOn w:val="1828"/>
    <w:link w:val="183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5">
    <w:name w:val="Body Text Indent 2"/>
    <w:basedOn w:val="1826"/>
    <w:link w:val="1836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36" w:customStyle="1">
    <w:name w:val="Основной текст с отступом 2 Знак"/>
    <w:basedOn w:val="1828"/>
    <w:link w:val="183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37">
    <w:name w:val="footnote text"/>
    <w:basedOn w:val="1826"/>
    <w:link w:val="1838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38" w:customStyle="1">
    <w:name w:val="Текст сноски Знак"/>
    <w:basedOn w:val="1828"/>
    <w:link w:val="1837"/>
    <w:uiPriority w:val="99"/>
    <w:rPr>
      <w:sz w:val="20"/>
      <w:szCs w:val="20"/>
    </w:rPr>
  </w:style>
  <w:style w:type="character" w:styleId="1839">
    <w:name w:val="footnote reference"/>
    <w:uiPriority w:val="99"/>
    <w:unhideWhenUsed/>
    <w:rPr>
      <w:vertAlign w:val="superscript"/>
    </w:rPr>
  </w:style>
  <w:style w:type="table" w:styleId="1840" w:customStyle="1">
    <w:name w:val="Сетка таблицы1"/>
    <w:basedOn w:val="1829"/>
    <w:next w:val="1841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41">
    <w:name w:val="Table Grid"/>
    <w:basedOn w:val="18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42" w:customStyle="1">
    <w:name w:val="Заголовок 3 Знак"/>
    <w:basedOn w:val="1828"/>
    <w:link w:val="1827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43">
    <w:name w:val="Body Text 2"/>
    <w:basedOn w:val="1826"/>
    <w:link w:val="1844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44" w:customStyle="1">
    <w:name w:val="Основной текст 2 Знак"/>
    <w:basedOn w:val="1828"/>
    <w:link w:val="184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5">
    <w:name w:val="Body Text"/>
    <w:basedOn w:val="1826"/>
    <w:link w:val="1846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46" w:customStyle="1">
    <w:name w:val="Основной текст Знак"/>
    <w:basedOn w:val="1828"/>
    <w:link w:val="184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7">
    <w:name w:val="Caption"/>
    <w:basedOn w:val="1826"/>
    <w:next w:val="1826"/>
    <w:link w:val="1684"/>
    <w:uiPriority w:val="99"/>
    <w:qFormat/>
    <w:pPr>
      <w:ind w:firstLine="0"/>
      <w:jc w:val="center"/>
    </w:pPr>
    <w:rPr>
      <w:b/>
      <w:bCs/>
      <w:szCs w:val="28"/>
    </w:rPr>
  </w:style>
  <w:style w:type="paragraph" w:styleId="1848">
    <w:name w:val="List Paragraph"/>
    <w:basedOn w:val="1826"/>
    <w:uiPriority w:val="34"/>
    <w:qFormat/>
    <w:pPr>
      <w:contextualSpacing/>
      <w:ind w:left="720"/>
    </w:pPr>
  </w:style>
  <w:style w:type="paragraph" w:styleId="1849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50">
    <w:name w:val="Balloon Text"/>
    <w:basedOn w:val="1826"/>
    <w:link w:val="1851"/>
    <w:uiPriority w:val="99"/>
    <w:semiHidden/>
    <w:unhideWhenUsed/>
    <w:rPr>
      <w:rFonts w:ascii="Tahoma" w:hAnsi="Tahoma" w:cs="Tahoma"/>
      <w:sz w:val="16"/>
      <w:szCs w:val="16"/>
    </w:rPr>
  </w:style>
  <w:style w:type="character" w:styleId="1851" w:customStyle="1">
    <w:name w:val="Текст выноски Знак"/>
    <w:basedOn w:val="1828"/>
    <w:link w:val="185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2373-9108-4D81-B721-5704B7B7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turaeva-as</cp:lastModifiedBy>
  <cp:revision>184</cp:revision>
  <dcterms:created xsi:type="dcterms:W3CDTF">2023-11-30T07:40:00Z</dcterms:created>
  <dcterms:modified xsi:type="dcterms:W3CDTF">2025-03-31T07:32:37Z</dcterms:modified>
</cp:coreProperties>
</file>