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jc w:val="center"/>
        <w:spacing w:before="0" w:after="0" w:line="240" w:lineRule="auto"/>
        <w:rPr>
          <w:rFonts w:eastAsiaTheme="minorHAnsi"/>
          <w:szCs w:val="28"/>
        </w:rPr>
        <w:suppressLineNumbers w:val="0"/>
      </w:pPr>
      <w:r>
        <w:rPr>
          <w:szCs w:val="28"/>
        </w:rPr>
        <w:t xml:space="preserve">Разъяснения положений </w:t>
      </w:r>
      <w:r>
        <w:rPr>
          <w:rFonts w:eastAsiaTheme="minorHAnsi"/>
          <w:szCs w:val="28"/>
        </w:rPr>
        <w:t xml:space="preserve">извещения о</w:t>
      </w:r>
      <w:r>
        <w:rPr>
          <w:rFonts w:eastAsiaTheme="minorHAnsi"/>
          <w:szCs w:val="28"/>
        </w:rPr>
        <w:t xml:space="preserve"> проведении аукциона </w:t>
      </w:r>
      <w:r>
        <w:rPr>
          <w:rFonts w:eastAsiaTheme="minorHAnsi"/>
          <w:szCs w:val="28"/>
        </w:rPr>
      </w:r>
      <w:r>
        <w:rPr>
          <w:rFonts w:eastAsiaTheme="minorHAnsi"/>
          <w:szCs w:val="28"/>
        </w:rPr>
      </w:r>
    </w:p>
    <w:p>
      <w:pPr>
        <w:contextualSpacing w:val="0"/>
        <w:jc w:val="center"/>
        <w:spacing w:before="0" w:after="0" w:line="240" w:lineRule="auto"/>
        <w:rPr>
          <w:rFonts w:eastAsiaTheme="minorHAnsi"/>
          <w:szCs w:val="28"/>
        </w:rPr>
        <w:suppressLineNumbers w:val="0"/>
      </w:pPr>
      <w:r>
        <w:rPr>
          <w:rFonts w:eastAsiaTheme="minorHAnsi"/>
          <w:szCs w:val="28"/>
        </w:rPr>
        <w:t xml:space="preserve">на право заключения договора аренды земельного участка </w:t>
      </w:r>
      <w:bookmarkStart w:id="0" w:name="_GoBack"/>
      <w:r/>
      <w:bookmarkEnd w:id="0"/>
      <w:r>
        <w:rPr>
          <w:rFonts w:eastAsiaTheme="minorHAnsi"/>
          <w:szCs w:val="28"/>
        </w:rPr>
        <w:t xml:space="preserve">(</w:t>
      </w:r>
      <w:r>
        <w:rPr>
          <w:szCs w:val="28"/>
        </w:rPr>
        <w:t xml:space="preserve">лот № 1)</w:t>
      </w:r>
      <w:r>
        <w:rPr>
          <w:rFonts w:eastAsiaTheme="minorHAnsi"/>
          <w:szCs w:val="28"/>
        </w:rPr>
      </w:r>
      <w:r>
        <w:rPr>
          <w:rFonts w:eastAsiaTheme="minorHAnsi"/>
          <w:szCs w:val="28"/>
        </w:rPr>
      </w:r>
    </w:p>
    <w:p>
      <w:pPr>
        <w:contextualSpacing w:val="0"/>
        <w:jc w:val="center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Извещение 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13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11.20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5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21000012310000000315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Текст з</w:t>
      </w:r>
      <w:r>
        <w:rPr>
          <w:b/>
          <w:szCs w:val="28"/>
        </w:rPr>
        <w:t xml:space="preserve">апрос</w:t>
      </w:r>
      <w:r>
        <w:rPr>
          <w:b/>
          <w:szCs w:val="28"/>
        </w:rPr>
        <w:t xml:space="preserve">а</w:t>
      </w:r>
      <w:r>
        <w:rPr>
          <w:b/>
          <w:szCs w:val="28"/>
        </w:rPr>
        <w:t xml:space="preserve">:</w:t>
      </w:r>
      <w:r>
        <w:rPr>
          <w:b/>
          <w:szCs w:val="28"/>
        </w:rPr>
      </w:r>
      <w:r>
        <w:rPr>
          <w:b/>
          <w:szCs w:val="28"/>
        </w:rPr>
      </w:r>
    </w:p>
    <w:p>
      <w:pPr>
        <w:jc w:val="both"/>
        <w:spacing w:after="0" w:line="240" w:lineRule="auto"/>
        <w:rPr>
          <w:color w:val="000000"/>
          <w:highlight w:val="none"/>
          <w:lang w:eastAsia="ru-RU"/>
        </w:rPr>
      </w:pPr>
      <w:r>
        <w:rPr>
          <w:color w:val="000000"/>
          <w:szCs w:val="28"/>
          <w:lang w:eastAsia="ru-RU"/>
        </w:rPr>
        <w:t xml:space="preserve">На сайте муниципального образования г. Пермь опубликовано об</w:t>
      </w:r>
      <w:r>
        <w:rPr>
          <w:color w:val="000000"/>
          <w:szCs w:val="28"/>
          <w:lang w:eastAsia="ru-RU"/>
        </w:rPr>
        <w:t xml:space="preserve">ъявление </w:t>
        <w:br/>
        <w:t xml:space="preserve">о проведении 11.12.2025 электронного аукциона на право заключения договора аренды земельного участка с кадастровым номером 59:01:4510605:172 (лот № 1), расположенного по адресу: Пермский край, г. Пермь, Дзержинский район, </w:t>
        <w:br/>
        <w:t xml:space="preserve">ул. Фоминская, з/у 27б.</w:t>
      </w:r>
      <w:r>
        <w:rPr>
          <w:color w:val="000000"/>
          <w:highlight w:val="none"/>
          <w:lang w:eastAsia="ru-RU"/>
        </w:rPr>
      </w:r>
      <w:r>
        <w:rPr>
          <w:color w:val="000000"/>
          <w:highlight w:val="none"/>
          <w:lang w:eastAsia="ru-RU"/>
        </w:rPr>
      </w:r>
    </w:p>
    <w:p>
      <w:pPr>
        <w:jc w:val="both"/>
        <w:spacing w:after="0" w:line="240" w:lineRule="auto"/>
        <w:rPr>
          <w:color w:val="000000"/>
          <w:highlight w:val="none"/>
          <w:lang w:eastAsia="ru-RU"/>
        </w:rPr>
      </w:pPr>
      <w:r>
        <w:rPr>
          <w:color w:val="000000"/>
          <w:highlight w:val="none"/>
          <w:lang w:eastAsia="ru-RU"/>
        </w:rPr>
        <w:t xml:space="preserve">В аукционной документации содержится информация о том, что на участке отсутствуют коммуникации ООО «НОВОГО-Прикамье».</w:t>
      </w:r>
      <w:r>
        <w:rPr>
          <w:color w:val="000000"/>
          <w:highlight w:val="none"/>
          <w:lang w:eastAsia="ru-RU"/>
        </w:rPr>
      </w:r>
      <w:r>
        <w:rPr>
          <w:color w:val="000000"/>
          <w:highlight w:val="none"/>
          <w:lang w:eastAsia="ru-RU"/>
        </w:rPr>
      </w:r>
    </w:p>
    <w:p>
      <w:pPr>
        <w:jc w:val="both"/>
        <w:spacing w:after="0" w:line="240" w:lineRule="auto"/>
        <w:rPr>
          <w:color w:val="000000"/>
          <w:highlight w:val="none"/>
          <w:lang w:eastAsia="ru-RU"/>
        </w:rPr>
      </w:pPr>
      <w:r>
        <w:rPr>
          <w:color w:val="000000"/>
          <w:highlight w:val="none"/>
          <w:lang w:eastAsia="ru-RU"/>
        </w:rPr>
        <w:t xml:space="preserve">Возможна ли такая ситуация, что на участке размещены подземные коммуникации иных организаций, информация о которых отсутствует в публичном доступе </w:t>
        <w:br/>
        <w:t xml:space="preserve">(нет в выписке из ЕГРН) на земельный участок)?</w:t>
      </w:r>
      <w:r>
        <w:rPr>
          <w:color w:val="000000"/>
          <w:highlight w:val="none"/>
          <w:lang w:eastAsia="ru-RU"/>
        </w:rPr>
      </w:r>
      <w:r>
        <w:rPr>
          <w:color w:val="000000"/>
          <w:highlight w:val="none"/>
          <w:lang w:eastAsia="ru-RU"/>
        </w:rPr>
      </w:r>
    </w:p>
    <w:p>
      <w:pPr>
        <w:jc w:val="both"/>
        <w:spacing w:after="0" w:line="240" w:lineRule="auto"/>
        <w:rPr>
          <w:color w:val="000000"/>
          <w:highlight w:val="none"/>
          <w:lang w:eastAsia="ru-RU"/>
        </w:rPr>
      </w:pPr>
      <w:r>
        <w:rPr>
          <w:color w:val="000000"/>
          <w:highlight w:val="none"/>
          <w:lang w:eastAsia="ru-RU"/>
        </w:rPr>
        <w:t xml:space="preserve">Являются ли данные обстоятельства основанием для расторжения договора аренды?</w:t>
      </w:r>
      <w:r>
        <w:rPr>
          <w:color w:val="000000"/>
          <w:highlight w:val="none"/>
          <w:lang w:eastAsia="ru-RU"/>
        </w:rPr>
      </w:r>
      <w:r>
        <w:rPr>
          <w:color w:val="000000"/>
          <w:highlight w:val="none"/>
          <w:lang w:eastAsia="ru-RU"/>
        </w:rPr>
      </w:r>
    </w:p>
    <w:p>
      <w:pPr>
        <w:jc w:val="both"/>
        <w:spacing w:after="0" w:line="240" w:lineRule="auto"/>
        <w:rPr>
          <w:color w:val="000000"/>
          <w:highlight w:val="none"/>
          <w:lang w:eastAsia="ru-RU"/>
        </w:rPr>
      </w:pPr>
      <w:r>
        <w:rPr>
          <w:color w:val="000000"/>
          <w:highlight w:val="none"/>
          <w:lang w:eastAsia="ru-RU"/>
        </w:rPr>
        <w:t xml:space="preserve">За чей счет должен производиться вынос коммуникаций, обнаруженных в ходе выполнения работ, информация о которых </w:t>
      </w:r>
      <w:r>
        <w:rPr>
          <w:color w:val="000000"/>
          <w:highlight w:val="none"/>
          <w:lang w:eastAsia="ru-RU"/>
        </w:rPr>
        <w:t xml:space="preserve">отсутствует</w:t>
      </w:r>
      <w:r>
        <w:rPr>
          <w:color w:val="000000"/>
          <w:highlight w:val="none"/>
          <w:lang w:eastAsia="ru-RU"/>
        </w:rPr>
        <w:t xml:space="preserve"> в аукционной документации? </w:t>
      </w:r>
      <w:r>
        <w:rPr>
          <w:color w:val="000000"/>
          <w:highlight w:val="none"/>
          <w:lang w:eastAsia="ru-RU"/>
        </w:rPr>
      </w:r>
      <w:r>
        <w:rPr>
          <w:color w:val="000000"/>
          <w:highlight w:val="none"/>
          <w:lang w:eastAsia="ru-RU"/>
        </w:rPr>
      </w:r>
    </w:p>
    <w:p>
      <w:pPr>
        <w:jc w:val="both"/>
        <w:spacing w:after="0" w:line="240" w:lineRule="auto"/>
        <w:rPr>
          <w:b/>
          <w:bCs/>
          <w:highlight w:val="none"/>
        </w:rPr>
      </w:pPr>
      <w:r>
        <w:rPr>
          <w:b/>
          <w:szCs w:val="28"/>
          <w:highlight w:val="none"/>
        </w:rPr>
      </w:r>
      <w:r>
        <w:rPr>
          <w:b/>
          <w:szCs w:val="28"/>
          <w:highlight w:val="none"/>
        </w:rPr>
      </w:r>
    </w:p>
    <w:p>
      <w:pPr>
        <w:jc w:val="both"/>
        <w:spacing w:after="0" w:line="240" w:lineRule="auto"/>
        <w:rPr>
          <w:b/>
          <w:bCs/>
          <w:highlight w:val="none"/>
        </w:rPr>
      </w:pPr>
      <w:r>
        <w:rPr>
          <w:b/>
          <w:szCs w:val="28"/>
        </w:rPr>
        <w:t xml:space="preserve">Ответ: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contextualSpacing w:val="0"/>
        <w:ind w:firstLine="720"/>
        <w:jc w:val="both"/>
        <w:spacing w:before="0" w:after="0" w:line="240" w:lineRule="auto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</w:rPr>
        <w:t xml:space="preserve">По информации департамента земельных отношений администрации города Перми </w:t>
      </w:r>
      <w:r>
        <w:rPr>
          <w:sz w:val="28"/>
          <w:szCs w:val="28"/>
          <w:highlight w:val="none"/>
          <w14:ligatures w14:val="none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 xml:space="preserve">справке по градостроительным условиям земельного участка </w:t>
        <w:br/>
        <w:t xml:space="preserve">от 28.10</w:t>
      </w:r>
      <w:r>
        <w:rPr>
          <w:rFonts w:ascii="Times New Roman" w:hAnsi="Times New Roman"/>
          <w:sz w:val="28"/>
          <w:szCs w:val="28"/>
        </w:rPr>
        <w:t xml:space="preserve">.2025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652165</w:t>
      </w:r>
      <w:r>
        <w:rPr>
          <w:sz w:val="28"/>
          <w:szCs w:val="28"/>
          <w:highlight w:val="none"/>
          <w14:ligatures w14:val="none"/>
        </w:rPr>
        <w:t xml:space="preserve">, письма </w:t>
      </w:r>
      <w:r>
        <w:rPr>
          <w:sz w:val="28"/>
          <w:szCs w:val="28"/>
          <w:highlight w:val="none"/>
          <w14:ligatures w14:val="none"/>
        </w:rPr>
        <w:t xml:space="preserve">ООО «НОВОГОР-Прикамье»</w:t>
      </w:r>
      <w:r>
        <w:rPr>
          <w:sz w:val="28"/>
          <w:szCs w:val="28"/>
          <w:highlight w:val="none"/>
          <w14:ligatures w14:val="none"/>
        </w:rPr>
        <w:t xml:space="preserve"> от 05.07.2023 </w:t>
        <w:br/>
        <w:t xml:space="preserve">№ 110-10630</w:t>
      </w:r>
      <w:r>
        <w:rPr>
          <w:sz w:val="28"/>
          <w:szCs w:val="28"/>
          <w:highlight w:val="none"/>
          <w14:ligatures w14:val="none"/>
        </w:rPr>
        <w:t xml:space="preserve">, информация о расположе</w:t>
      </w:r>
      <w:r>
        <w:rPr>
          <w:sz w:val="28"/>
          <w:szCs w:val="28"/>
          <w:highlight w:val="none"/>
          <w14:ligatures w14:val="none"/>
        </w:rPr>
        <w:t xml:space="preserve">нии сетей коммуникаций иных организаций в границах </w:t>
      </w:r>
      <w:r>
        <w:rPr>
          <w:sz w:val="28"/>
          <w:szCs w:val="28"/>
          <w:highlight w:val="none"/>
          <w14:ligatures w14:val="none"/>
        </w:rPr>
        <w:t xml:space="preserve">указанного земельного участка отсутствует. 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 w:val="0"/>
        <w:ind w:firstLine="720"/>
        <w:jc w:val="both"/>
        <w:spacing w:before="0" w:after="0" w:line="240" w:lineRule="auto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  <w:t xml:space="preserve">В соответствии с пунктом 1.1 статьи 39.20 Земельного кодекса Российской Федерации (далее – ЗК РФ) </w:t>
      </w:r>
      <w:r>
        <w:rPr>
          <w:sz w:val="28"/>
          <w:szCs w:val="28"/>
          <w:highlight w:val="none"/>
          <w14:ligatures w14:val="none"/>
        </w:rPr>
        <w:t xml:space="preserve">зе</w:t>
      </w:r>
      <w:r>
        <w:rPr>
          <w:sz w:val="28"/>
          <w:szCs w:val="28"/>
          <w:highlight w:val="none"/>
          <w14:ligatures w14:val="none"/>
        </w:rPr>
        <w:t xml:space="preserve">мельные участки, находящиеся в государственной </w:t>
        <w:br/>
        <w:t xml:space="preserve">или муниципальной собственности, не предоставляются в собственность </w:t>
        <w:br/>
        <w:t xml:space="preserve">или в аренду собственникам и иным правообладателям сооружений, которые могут размещаться на таких земельных участках на основании сервитута</w:t>
      </w:r>
      <w:r>
        <w:rPr>
          <w:sz w:val="28"/>
          <w:szCs w:val="28"/>
          <w:highlight w:val="none"/>
          <w14:ligatures w14:val="none"/>
        </w:rPr>
        <w:t xml:space="preserve">, публичного сервитута или в соответствии со </w:t>
      </w:r>
      <w:r>
        <w:rPr>
          <w:sz w:val="28"/>
          <w:szCs w:val="28"/>
          <w:highlight w:val="none"/>
          <w14:ligatures w14:val="none"/>
        </w:rPr>
        <w:t xml:space="preserve">статьей 39.36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  <w:t xml:space="preserve">ЗК РФ</w:t>
      </w:r>
      <w:r>
        <w:rPr>
          <w:sz w:val="28"/>
          <w:szCs w:val="28"/>
          <w:highlight w:val="none"/>
          <w14:ligatures w14:val="none"/>
        </w:rPr>
        <w:t xml:space="preserve">. 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 w:val="0"/>
        <w:ind w:firstLine="720"/>
        <w:jc w:val="both"/>
        <w:spacing w:before="0" w:after="0" w:line="240" w:lineRule="auto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  <w:t xml:space="preserve">Учитывая вышеизложенное</w:t>
      </w:r>
      <w:r>
        <w:rPr>
          <w:sz w:val="28"/>
          <w:szCs w:val="28"/>
          <w:highlight w:val="none"/>
          <w14:ligatures w14:val="none"/>
        </w:rPr>
        <w:t xml:space="preserve">, наличие таких объектов на земельном участке не является основанием для расторжения договора аренды.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Согласно информации департамента земельных отношений администрации города Перми </w:t>
      </w:r>
      <w:r>
        <w:rPr>
          <w:sz w:val="28"/>
          <w:szCs w:val="28"/>
          <w:highlight w:val="none"/>
          <w14:ligatures w14:val="none"/>
        </w:rPr>
        <w:t xml:space="preserve">проведение работ по выносу инженерных коммуникаций из границ земел</w:t>
      </w:r>
      <w:r>
        <w:rPr>
          <w:sz w:val="28"/>
          <w:szCs w:val="28"/>
          <w:highlight w:val="none"/>
          <w14:ligatures w14:val="none"/>
        </w:rPr>
        <w:t xml:space="preserve">ьного участка осуществляется по согласованию с собственником коммуникаций.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jc w:val="both"/>
        <w:spacing w:after="0" w:line="24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424" w:bottom="568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rPr>
      <w:rFonts w:ascii="Times New Roman" w:hAnsi="Times New Roman" w:eastAsia="Calibri" w:cs="Times New Roman"/>
      <w:sz w:val="28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Ефремова Наталья Владимировна</dc:creator>
  <cp:revision>10</cp:revision>
  <dcterms:created xsi:type="dcterms:W3CDTF">2023-12-04T07:50:00Z</dcterms:created>
  <dcterms:modified xsi:type="dcterms:W3CDTF">2025-12-03T07:40:29Z</dcterms:modified>
</cp:coreProperties>
</file>