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12.12.2025,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12</w:t>
      </w:r>
      <w:r>
        <w:rPr>
          <w:sz w:val="28"/>
          <w:szCs w:val="28"/>
        </w:rPr>
        <w:t>.12.2025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59:01:2910323:858 площадью 3227 кв. м, расположенного по адресу: Российская Федерация, Российская Федерация, Пермский край, городской округ Пермский, город Пермь, улица Репина, з/у 88, для строительства склада. Разрешенное использование земельного участка – склады.</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Начальная цена предмета аукциона –</w:t>
      </w:r>
      <w:r>
        <w:rPr>
          <w:rFonts w:eastAsia="Droid Sans Fallback" w:cs="Lohit Devanagari"/>
          <w:color w:val="auto"/>
          <w:kern w:val="0"/>
          <w:sz w:val="28"/>
          <w:szCs w:val="28"/>
          <w:lang w:val="ru-RU" w:eastAsia="ru-RU" w:bidi="ar-SA"/>
        </w:rPr>
        <w:t xml:space="preserve"> 1 366 500,00 </w:t>
      </w:r>
      <w:r>
        <w:rPr>
          <w:rFonts w:eastAsia="Droid Sans Fallback" w:cs="Lohit Devanagari"/>
          <w:color w:val="auto"/>
          <w:kern w:val="0"/>
          <w:sz w:val="28"/>
          <w:szCs w:val="28"/>
          <w:lang w:val="ru-RU" w:eastAsia="ru-RU" w:bidi="ar-SA"/>
        </w:rPr>
        <w:t>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Единственный заявитель – </w:t>
      </w:r>
      <w:r>
        <w:rPr>
          <w:rFonts w:eastAsia="Droid Sans Fallback" w:cs="Lohit Devanagari"/>
          <w:color w:val="auto"/>
          <w:sz w:val="28"/>
          <w:szCs w:val="28"/>
          <w:lang w:val="ru-RU" w:eastAsia="ru-RU" w:bidi="ar-SA"/>
        </w:rPr>
        <w:t>о</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бщество с ограниченной ответственностью «КВИН»</w:t>
      </w:r>
      <w:r>
        <w:rPr>
          <w:rFonts w:eastAsia="Droid Sans Fallback" w:cs="Lohit Devanagari"/>
          <w:color w:val="auto"/>
          <w:sz w:val="28"/>
          <w:szCs w:val="28"/>
          <w:lang w:val="ru-RU" w:eastAsia="ru-RU" w:bidi="ar-SA"/>
        </w:rPr>
        <w:t xml:space="preserve">, номер заявки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6716</w:t>
      </w:r>
      <w:r>
        <w:rPr>
          <w:rFonts w:eastAsia="Droid Sans Fallback" w:cs="Lohit Devanagari"/>
          <w:color w:val="auto"/>
          <w:sz w:val="28"/>
          <w:szCs w:val="28"/>
          <w:lang w:val="ru-RU" w:eastAsia="ru-RU" w:bidi="ar-SA"/>
        </w:rPr>
        <w:t>.</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sz w:val="28"/>
          <w:szCs w:val="28"/>
          <w:lang w:val="ru-RU" w:eastAsia="ru-RU" w:bidi="ar-SA"/>
        </w:rPr>
        <w:t xml:space="preserve">№ 1 </w:t>
      </w:r>
      <w:r>
        <w:rPr>
          <w:rFonts w:eastAsia="Droid Sans Fallback" w:cs="Lohit Devanagari"/>
          <w:color w:val="auto"/>
          <w:sz w:val="28"/>
          <w:szCs w:val="28"/>
          <w:lang w:val="ru-RU" w:eastAsia="ru-RU" w:bidi="ar-SA"/>
        </w:rPr>
        <w:t xml:space="preserve">признан несостоявшимся.   </w:t>
      </w:r>
    </w:p>
    <w:p>
      <w:pPr>
        <w:pStyle w:val="Normal"/>
        <w:widowControl/>
        <w:spacing w:lineRule="auto" w:line="276" w:before="0" w:after="0"/>
        <w:ind w:hanging="0" w:left="0" w:right="0"/>
        <w:contextualSpacing/>
        <w:jc w:val="both"/>
        <w:rPr/>
      </w:pPr>
      <w:r>
        <w:rPr>
          <w:rFonts w:eastAsia="Droid Sans Fallback" w:cs="Lohit Devanagari"/>
          <w:b w:val="false"/>
          <w:bCs w:val="false"/>
          <w:color w:val="auto"/>
          <w:sz w:val="28"/>
          <w:szCs w:val="28"/>
          <w:highlight w:val="white"/>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color w:val="auto"/>
          <w:kern w:val="0"/>
          <w:sz w:val="28"/>
          <w:szCs w:val="28"/>
          <w:highlight w:val="white"/>
          <w:lang w:val="ru-RU" w:eastAsia="ru-RU" w:bidi="ar-SA"/>
        </w:rPr>
        <w:t>1 366 500,00</w:t>
      </w:r>
      <w:r>
        <w:rPr>
          <w:rFonts w:eastAsia="Droid Sans Fallback" w:cs="Lohit Devanagari"/>
          <w:b/>
          <w:bCs/>
          <w:color w:val="auto"/>
          <w:sz w:val="28"/>
          <w:szCs w:val="28"/>
          <w:highlight w:val="white"/>
          <w:lang w:val="ru-RU" w:eastAsia="ru-RU" w:bidi="ar-SA"/>
        </w:rPr>
        <w:t xml:space="preserve"> 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Fonts w:eastAsia="Droid Sans Fallback" w:cs="Lohit Devanagari"/>
          <w:b/>
          <w:color w:val="auto"/>
          <w:sz w:val="28"/>
          <w:szCs w:val="28"/>
          <w:lang w:val="ru-RU" w:eastAsia="ru-RU" w:bidi="ar-SA"/>
        </w:rPr>
        <w:t xml:space="preserve">Лот № 2. </w:t>
      </w:r>
    </w:p>
    <w:p>
      <w:pPr>
        <w:pStyle w:val="Normal"/>
        <w:widowControl/>
        <w:suppressAutoHyphens w:val="true"/>
        <w:bidi w:val="0"/>
        <w:spacing w:lineRule="auto" w:line="276" w:before="0" w:after="0"/>
        <w:ind w:firstLine="624" w:left="0" w:right="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Fonts w:eastAsia="Droid Sans Fallback" w:cs="Lohit Devanagari"/>
          <w:b w:val="false"/>
          <w:bCs w:val="false"/>
          <w:i w:val="false"/>
          <w:iCs w:val="false"/>
          <w:caps w:val="false"/>
          <w:smallCaps w:val="false"/>
          <w:color w:val="auto"/>
          <w:sz w:val="28"/>
          <w:szCs w:val="28"/>
          <w:lang w:val="ru-RU" w:eastAsia="ru-RU" w:bidi="ar-SA"/>
        </w:rPr>
        <w:t>П</w:t>
      </w:r>
      <w:r>
        <w:rPr>
          <w:rFonts w:eastAsia="Times New Roman" w:cs="Times New Roman"/>
          <w:b w:val="false"/>
          <w:bCs w:val="false"/>
          <w:i w:val="false"/>
          <w:iCs w:val="false"/>
          <w:caps w:val="false"/>
          <w:smallCaps w:val="false"/>
          <w:color w:val="000000"/>
          <w:sz w:val="28"/>
          <w:szCs w:val="28"/>
        </w:rPr>
        <w:t>раво</w:t>
      </w:r>
      <w:r>
        <w:rPr>
          <w:rFonts w:eastAsia="Times New Roman" w:cs="Times New Roman"/>
          <w:b w:val="false"/>
          <w:bCs w:val="false"/>
          <w:i w:val="false"/>
          <w:iCs w:val="false"/>
          <w:caps w:val="false"/>
          <w:smallCaps w:val="false"/>
          <w:color w:val="00000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59:01:5010066:4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51,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ind w:firstLine="708"/>
        <w:jc w:val="both"/>
        <w:rPr/>
      </w:pPr>
      <w:r>
        <w:rPr>
          <w:rFonts w:eastAsia="Times New Roman" w:cs="Lohit Devanagari"/>
          <w:b w:val="false"/>
          <w:bCs w:val="false"/>
          <w:i w:val="false"/>
          <w:iCs w:val="false"/>
          <w:caps w:val="false"/>
          <w:smallCaps w:val="false"/>
          <w:color w:val="auto"/>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eastAsia="Times New Roman" w:cs="Lohit Devanagari"/>
          <w:b w:val="false"/>
          <w:bCs w:val="false"/>
          <w:i w:val="false"/>
          <w:i w:val="false"/>
          <w:iCs w:val="false"/>
          <w:caps w:val="false"/>
          <w:smallCaps w:val="false"/>
          <w:color w:val="auto"/>
          <w:sz w:val="28"/>
          <w:szCs w:val="28"/>
          <w:highlight w:val="white"/>
          <w:lang w:val="ru-RU" w:eastAsia="ru-RU" w:bidi="ar-SA"/>
        </w:rPr>
      </w:pPr>
      <w:r>
        <w:rPr/>
      </w:r>
    </w:p>
    <w:p>
      <w:pPr>
        <w:pStyle w:val="Normal"/>
        <w:spacing w:lineRule="auto" w:line="276" w:before="0" w:after="0"/>
        <w:ind w:hanging="0" w:left="0" w:right="0"/>
        <w:jc w:val="both"/>
        <w:rPr>
          <w:highlight w:val="none"/>
          <w:shd w:fill="auto" w:val="clear"/>
        </w:rPr>
      </w:pPr>
      <w:r>
        <w:rPr>
          <w:rFonts w:eastAsia="Droid Sans Fallback" w:cs="Lohit Devanagari"/>
          <w:b/>
          <w:color w:val="000000"/>
          <w:sz w:val="28"/>
          <w:szCs w:val="28"/>
          <w:shd w:fill="auto" w:val="clear"/>
          <w:lang w:val="ru-RU" w:eastAsia="ru-RU" w:bidi="ar-SA"/>
        </w:rPr>
        <w:t xml:space="preserve">Лот № </w:t>
      </w:r>
      <w:r>
        <w:rPr>
          <w:rFonts w:eastAsia="Droid Sans Fallback" w:cs="Lohit Devanagari"/>
          <w:b/>
          <w:color w:val="000000"/>
          <w:sz w:val="28"/>
          <w:szCs w:val="28"/>
          <w:shd w:fill="auto" w:val="clear"/>
          <w:lang w:val="ru-RU" w:eastAsia="ru-RU" w:bidi="ar-SA"/>
        </w:rPr>
        <w:t>3</w:t>
      </w:r>
      <w:r>
        <w:rPr>
          <w:rFonts w:eastAsia="Droid Sans Fallback" w:cs="Lohit Devanagari"/>
          <w:b/>
          <w:color w:val="000000"/>
          <w:sz w:val="28"/>
          <w:szCs w:val="28"/>
          <w:shd w:fill="auto" w:val="clear"/>
          <w:lang w:val="ru-RU" w:eastAsia="ru-RU" w:bidi="ar-SA"/>
        </w:rPr>
        <w:t>.</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59:01:1713458:4, площадью 721 кв. м, расположенного по адресу: Пермский край, г. Пермь, р-н Кировский, ул. Александра Чекалина, 66,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окончания электронного аукциона:</w:t>
      </w:r>
      <w:r>
        <w:rPr>
          <w:rFonts w:eastAsia="Times New Roman" w:cs="Times New Roman"/>
          <w:b w:val="false"/>
          <w:bCs w:val="false"/>
          <w:color w:themeColor="text1" w:val="000000"/>
          <w:sz w:val="28"/>
          <w:szCs w:val="28"/>
          <w:shd w:fill="auto" w:val="clear"/>
          <w:lang w:val="ru-RU" w:eastAsia="ru-RU" w:bidi="ar-SA"/>
        </w:rPr>
        <w:t xml:space="preserve"> 10:</w:t>
      </w:r>
      <w:r>
        <w:rPr>
          <w:rFonts w:eastAsia="Times New Roman" w:cs="Times New Roman"/>
          <w:b w:val="false"/>
          <w:bCs w:val="false"/>
          <w:color w:themeColor="text1" w:val="000000"/>
          <w:sz w:val="28"/>
          <w:szCs w:val="28"/>
          <w:shd w:fill="auto" w:val="clear"/>
          <w:lang w:val="ru-RU" w:eastAsia="ru-RU" w:bidi="ar-SA"/>
        </w:rPr>
        <w:t>14</w:t>
      </w:r>
      <w:r>
        <w:rPr>
          <w:rFonts w:eastAsia="Times New Roman" w:cs="Times New Roman"/>
          <w:b w:val="false"/>
          <w:bCs w:val="false"/>
          <w:color w:themeColor="text1" w:val="000000"/>
          <w:sz w:val="28"/>
          <w:szCs w:val="28"/>
          <w:shd w:fill="auto" w:val="clear"/>
          <w:lang w:val="ru-RU" w:eastAsia="ru-RU" w:bidi="ar-SA"/>
        </w:rPr>
        <w:t xml:space="preserve"> по местн</w:t>
      </w:r>
      <w:r>
        <w:rPr>
          <w:rFonts w:eastAsia="Times New Roman" w:cs="Times New Roman"/>
          <w:color w:themeColor="text1" w:val="000000"/>
          <w:sz w:val="28"/>
          <w:szCs w:val="28"/>
          <w:shd w:fill="auto" w:val="clear"/>
          <w:lang w:val="ru-RU" w:eastAsia="ru-RU" w:bidi="ar-SA"/>
        </w:rPr>
        <w:t>ому времени (08:</w:t>
      </w:r>
      <w:r>
        <w:rPr>
          <w:rFonts w:eastAsia="Times New Roman" w:cs="Times New Roman"/>
          <w:color w:themeColor="text1" w:val="000000"/>
          <w:sz w:val="28"/>
          <w:szCs w:val="28"/>
          <w:shd w:fill="auto" w:val="clear"/>
          <w:lang w:val="ru-RU" w:eastAsia="ru-RU" w:bidi="ar-SA"/>
        </w:rPr>
        <w:t>14</w:t>
      </w:r>
      <w:r>
        <w:rPr>
          <w:rFonts w:eastAsia="Times New Roman" w:cs="Times New Roman"/>
          <w:color w:themeColor="text1" w:val="000000"/>
          <w:sz w:val="28"/>
          <w:szCs w:val="28"/>
          <w:shd w:fill="auto" w:val="clear"/>
          <w:lang w:val="ru-RU" w:eastAsia="ru-RU" w:bidi="ar-SA"/>
        </w:rPr>
        <w:t xml:space="preserve"> МС</w:t>
      </w:r>
      <w:r>
        <w:rPr>
          <w:rFonts w:eastAsia="Times New Roman" w:cs="Times New Roman"/>
          <w:color w:themeColor="text1" w:val="000000"/>
          <w:sz w:val="28"/>
          <w:szCs w:val="28"/>
          <w:highlight w:val="white"/>
          <w:lang w:val="ru-RU" w:eastAsia="ru-RU" w:bidi="ar-SA"/>
        </w:rPr>
        <w:t>К).</w:t>
      </w:r>
    </w:p>
    <w:p>
      <w:pPr>
        <w:pStyle w:val="Normal"/>
        <w:spacing w:lineRule="auto" w:line="276" w:before="0" w:after="0"/>
        <w:ind w:hanging="0" w:left="0" w:right="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На участие в аукционе поступил</w:t>
      </w:r>
      <w:r>
        <w:rPr>
          <w:rFonts w:eastAsia="Times New Roman" w:cs="Times New Roman"/>
          <w:color w:themeColor="text1" w:val="000000"/>
          <w:sz w:val="28"/>
          <w:szCs w:val="28"/>
          <w:highlight w:val="white"/>
          <w:lang w:val="ru-RU" w:eastAsia="ru-RU" w:bidi="ar-SA"/>
        </w:rPr>
        <w:t>о 10</w:t>
      </w:r>
      <w:r>
        <w:rPr>
          <w:rFonts w:eastAsia="Times New Roman" w:cs="Times New Roman"/>
          <w:color w:themeColor="text1" w:val="000000"/>
          <w:sz w:val="28"/>
          <w:szCs w:val="28"/>
          <w:highlight w:val="white"/>
          <w:lang w:val="ru-RU" w:eastAsia="ru-RU" w:bidi="ar-SA"/>
        </w:rPr>
        <w:t xml:space="preserve"> заяв</w:t>
      </w:r>
      <w:r>
        <w:rPr>
          <w:rFonts w:eastAsia="Times New Roman" w:cs="Times New Roman"/>
          <w:color w:themeColor="text1" w:val="000000"/>
          <w:sz w:val="28"/>
          <w:szCs w:val="28"/>
          <w:highlight w:val="white"/>
          <w:lang w:val="ru-RU" w:eastAsia="ru-RU" w:bidi="ar-SA"/>
        </w:rPr>
        <w:t>ок</w:t>
      </w:r>
      <w:r>
        <w:rPr>
          <w:rFonts w:eastAsia="Times New Roman" w:cs="Times New Roman"/>
          <w:color w:themeColor="text1" w:val="000000"/>
          <w:sz w:val="28"/>
          <w:szCs w:val="28"/>
          <w:highlight w:val="white"/>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Сведения об участниках аукцион</w:t>
      </w:r>
      <w:r>
        <w:rPr>
          <w:rFonts w:eastAsia="Times New Roman" w:cs="Times New Roman"/>
          <w:b w:val="false"/>
          <w:bCs w:val="false"/>
          <w:color w:themeColor="text1" w:val="000000"/>
          <w:sz w:val="28"/>
          <w:szCs w:val="28"/>
          <w:highlight w:val="white"/>
          <w:lang w:val="ru-RU" w:eastAsia="ru-RU" w:bidi="ar-SA"/>
        </w:rPr>
        <w:t xml:space="preserve">а </w:t>
      </w: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shd w:fill="auto" w:val="clear"/>
          <w:lang w:val="ru-RU" w:eastAsia="ru-RU" w:bidi="ar-SA"/>
        </w:rPr>
        <w:t xml:space="preserve"> Смирнов Иван Андреевич, Тучков Дмитрий Иванович, Анучин Алексей Васильевич, Хацкова Мария Владимировна, Михеев Владимир Николаевич, Новрузова Жала Тенгиз </w:t>
      </w:r>
      <w:r>
        <w:rPr>
          <w:rFonts w:eastAsia="Times New Roman" w:cs="Times New Roman"/>
          <w:color w:themeColor="text1" w:val="000000"/>
          <w:sz w:val="28"/>
          <w:szCs w:val="28"/>
          <w:shd w:fill="auto" w:val="clear"/>
          <w:lang w:val="ru-RU" w:eastAsia="ru-RU" w:bidi="ar-SA"/>
        </w:rPr>
        <w:t xml:space="preserve">Кызы </w:t>
      </w:r>
      <w:r>
        <w:rPr>
          <w:rFonts w:eastAsia="Times New Roman" w:cs="Times New Roman"/>
          <w:color w:themeColor="text1" w:val="000000"/>
          <w:kern w:val="0"/>
          <w:sz w:val="28"/>
          <w:szCs w:val="28"/>
          <w:highlight w:val="white"/>
          <w:shd w:fill="auto" w:val="clear"/>
          <w:lang w:val="ru-RU" w:eastAsia="ru-RU" w:bidi="ar-SA"/>
        </w:rPr>
        <w:t xml:space="preserve">в лице представителя, действующего на основании доверенности,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xml:space="preserve">Стойлика Вячеслава Викторовича, </w:t>
      </w:r>
      <w:r>
        <w:rPr>
          <w:rFonts w:eastAsia="Times New Roman" w:cs="Times New Roman"/>
          <w:color w:themeColor="text1" w:val="000000"/>
          <w:sz w:val="28"/>
          <w:szCs w:val="28"/>
          <w:shd w:fill="auto" w:val="clear"/>
          <w:lang w:val="ru-RU" w:eastAsia="ru-RU" w:bidi="ar-SA"/>
        </w:rPr>
        <w:t>Лазарев Иван Леонидович, Заречная Ольга Владимировна, Давыдов Олег Сергеевич, Янак Оксана Николаевна.</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w:t>
      </w:r>
      <w:r>
        <w:rPr>
          <w:rFonts w:eastAsia="Times New Roman" w:cs="Times New Roman"/>
          <w:color w:themeColor="text1" w:val="000000"/>
          <w:kern w:val="0"/>
          <w:sz w:val="28"/>
          <w:szCs w:val="28"/>
          <w:highlight w:val="white"/>
          <w:lang w:val="ru-RU" w:eastAsia="ru-RU" w:bidi="ar-SA"/>
        </w:rPr>
        <w:t xml:space="preserve"> </w:t>
      </w:r>
      <w:r>
        <w:rPr>
          <w:rFonts w:eastAsia="Times New Roman" w:cs="Times New Roman"/>
          <w:color w:themeColor="text1" w:val="000000"/>
          <w:kern w:val="0"/>
          <w:sz w:val="28"/>
          <w:szCs w:val="28"/>
          <w:highlight w:val="white"/>
          <w:lang w:val="ru-RU" w:eastAsia="ru-RU" w:bidi="ar-SA"/>
        </w:rPr>
        <w:t>– 340 700,00 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6744</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Смирнов Иван Андреевич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8038</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Тучков Дмитрий Иванович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919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Анучин Алексей Васильевич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271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Хацкова Мария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6140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Михеев Владимир Николаевич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1 567 220,00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5345</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Новрузова Жала Тенгиз Кызы в лице представителя, действующего на основании доверенности,  Стойлика Вячеслава Викторовича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1 550 185,00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745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Лазарев Иван Леонидович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1 465 010,00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2147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Заречная Ольга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1 413 905,00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4407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Давыдов Олег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1 226 520,00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6853</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953 960,00</w:t>
            </w:r>
          </w:p>
        </w:tc>
      </w:tr>
    </w:tbl>
    <w:p>
      <w:pPr>
        <w:pStyle w:val="Normal"/>
        <w:spacing w:lineRule="auto" w:line="276" w:before="0" w:after="0"/>
        <w:ind w:firstLine="708"/>
        <w:jc w:val="both"/>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1 567 220,00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1 550 185,00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color w:themeColor="text1" w:val="000000"/>
          <w:kern w:val="0"/>
          <w:sz w:val="28"/>
          <w:szCs w:val="28"/>
          <w:highlight w:val="white"/>
          <w:lang w:val="ru-RU" w:eastAsia="ru-RU" w:bidi="ar-SA"/>
        </w:rPr>
        <w:t>Михеев Владимир Николаевич</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w:t>
      </w:r>
    </w:p>
    <w:p>
      <w:pPr>
        <w:pStyle w:val="Normal"/>
        <w:widowControl/>
        <w:spacing w:lineRule="auto" w:line="276" w:before="0" w:after="0"/>
        <w:jc w:val="both"/>
        <w:rPr>
          <w:rFonts w:ascii="Times New Roman" w:hAnsi="Times New Roman" w:eastAsia="Times New Roman" w:cs="Times New Roman"/>
          <w:sz w:val="20"/>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Новрузова Жала Тенгиз Кызы в лице представителя, действующего на основании доверенности,  Стойлика Вячеслава Викторовича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before="0" w:after="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1 567 220,00</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w:t>
      </w:r>
      <w:r>
        <w:rPr>
          <w:rFonts w:eastAsia="Times New Roman" w:cs="Times New Roman"/>
          <w:b/>
          <w:bCs/>
          <w:color w:themeColor="text1" w:val="000000"/>
          <w:sz w:val="28"/>
          <w:szCs w:val="28"/>
          <w:highlight w:val="white"/>
          <w:lang w:val="ru-RU" w:eastAsia="ru-RU" w:bidi="ar-SA"/>
        </w:rPr>
        <w:t>руб.</w:t>
      </w:r>
    </w:p>
    <w:p>
      <w:pPr>
        <w:pStyle w:val="Normal"/>
        <w:spacing w:lineRule="auto" w:line="276" w:before="0" w:after="0"/>
        <w:ind w:firstLine="708"/>
        <w:jc w:val="both"/>
        <w:rPr/>
      </w:pPr>
      <w:r>
        <w:rPr/>
      </w:r>
    </w:p>
    <w:p>
      <w:pPr>
        <w:pStyle w:val="Normal"/>
        <w:spacing w:lineRule="auto" w:line="276" w:before="0" w:after="120"/>
        <w:rPr>
          <w:highlight w:val="none"/>
          <w:shd w:fill="auto" w:val="clear"/>
        </w:rPr>
      </w:pPr>
      <w:r>
        <w:rPr>
          <w:shd w:fill="auto" w:val="clear"/>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widowControl/>
        <w:spacing w:lineRule="auto" w:line="276" w:before="120" w:after="120"/>
        <w:ind w:hanging="0" w:left="0" w:right="0"/>
        <w:jc w:val="left"/>
        <w:rPr/>
      </w:pPr>
      <w:r>
        <w:rPr>
          <w:sz w:val="28"/>
          <w:szCs w:val="28"/>
        </w:rPr>
        <w:t xml:space="preserve">Члены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LibreOffice/7.6.7.2$Linux_X86_64 LibreOffice_project/60$Build-2</Application>
  <AppVersion>15.0000</AppVersion>
  <Pages>4</Pages>
  <Words>768</Words>
  <Characters>5432</Characters>
  <CharactersWithSpaces>6477</CharactersWithSpaces>
  <Paragraphs>88</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2025-12-12T10:43:06Z</dcterms:modified>
  <cp:revision>174</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