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15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bidi w:val="0"/>
        <w:spacing w:lineRule="auto" w:line="276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16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.1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.2025 (процедур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 № SBR012-2511250030), 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участок с кадастровым номером, государственная собственность на который не разграничена, 59:01:5010065:137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36,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 участок с кадастровым номером, государственная собственность на который не разграничена, 59:01:5010065:133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3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участок, государственная собственность на который не разграничена, с кадастровым номером 59:01:5010065:141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46,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4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ый участок, государственная собственность на который не разграничена, с кадастровым номером 59:01:5010065:143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5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ный участок, государственная собственность на который не разграничена, с кадастровым номером 59:01:5010065:130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6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ный участок, государственная собственность на который не разграничена, с кадастровым номером 59:01:5010065:140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52,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7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ьный участок, государственная собственность на который не разграничена, с кадастровым номером 59:01:5010065:132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54,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8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59:01:5010065:128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56,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LibreOffice/7.6.7.2$Linux_X86_64 LibreOffice_project/60$Build-2</Application>
  <AppVersion>15.0000</AppVersion>
  <Pages>4</Pages>
  <Words>768</Words>
  <Characters>5807</Characters>
  <CharactersWithSpaces>6845</CharactersWithSpaces>
  <Paragraphs>46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2025-12-15T09:27:24Z</dcterms:modified>
  <cp:revision>1095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