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</w:p>
    <w:p>
      <w:pPr>
        <w:pStyle w:val="747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</w:p>
    <w:p>
      <w:pPr>
        <w:pStyle w:val="8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7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16.12.2025, 09:00</w:t>
      </w:r>
      <w:r>
        <w:rPr>
          <w:sz w:val="28"/>
          <w:szCs w:val="28"/>
        </w:rPr>
      </w:r>
    </w:p>
    <w:p>
      <w:pPr>
        <w:pStyle w:val="7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747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747"/>
        <w:ind w:left="3175" w:right="0" w:hanging="3175"/>
        <w:jc w:val="both"/>
        <w:spacing w:before="0" w:after="120" w:line="276" w:lineRule="auto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  <w:r>
        <w:rPr>
          <w:sz w:val="28"/>
          <w:szCs w:val="28"/>
          <w:lang w:eastAsia="en-US"/>
        </w:rPr>
      </w:r>
    </w:p>
    <w:p>
      <w:pPr>
        <w:pStyle w:val="747"/>
        <w:ind w:left="4876" w:right="0" w:hanging="4876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747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  <w:r/>
    </w:p>
    <w:p>
      <w:pPr>
        <w:pStyle w:val="747"/>
        <w:ind w:left="2160" w:right="0" w:hanging="216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ind w:left="2211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spacing w:before="0" w:after="120" w:line="276" w:lineRule="auto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747"/>
        <w:spacing w:before="0" w:after="120" w:line="276" w:lineRule="auto"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0"/>
          <w:bCs w:val="0"/>
          <w:sz w:val="28"/>
          <w:szCs w:val="28"/>
        </w:rPr>
        <w:t xml:space="preserve">16</w:t>
      </w:r>
      <w:r>
        <w:rPr>
          <w:sz w:val="28"/>
          <w:szCs w:val="28"/>
        </w:rPr>
        <w:t xml:space="preserve">.12.2025</w:t>
      </w:r>
      <w:r/>
    </w:p>
    <w:p>
      <w:pPr>
        <w:pStyle w:val="747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1.</w:t>
      </w:r>
      <w:r>
        <w:rPr>
          <w:b/>
          <w:bCs/>
          <w:sz w:val="28"/>
          <w:szCs w:val="28"/>
          <w:highlight w:val="none"/>
        </w:rPr>
      </w:r>
    </w:p>
    <w:p>
      <w:pPr>
        <w:pStyle w:val="747"/>
        <w:contextualSpacing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заключения договора аренды земельного участка с кадастровым номером 59:01:5010066:6 площадью 1000 кв. м, расположенного по адресу: Российская Ф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едерация, Пермский край, городской округ Пермский, город Пермь, жилой район Ново-Бродовский, улица Абрикосовая, з/у 33,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lang w:val="ru-RU" w:eastAsia="ru-RU" w:bidi="ar-SA"/>
        </w:rPr>
        <w:t xml:space="preserve">517 800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,00 руб.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электронном аукционе подана одна заявка.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Единственный заявитель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Федорова Надежда Валерьевна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, номер заявки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6546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1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признан несостоявшимся.   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ому единственным участником аукциона, подписанный проект договора аренды земельного участка. При этом размер ежегодной арендной платы по договору аренды земельного участка определяется       в размере, равном начальной цене предмета аукциона, и составляет </w:t>
      </w:r>
      <w:r>
        <w:rPr>
          <w:rFonts w:eastAsia="Droid Sans Fallback" w:cs="Lohit Devanagari"/>
          <w:b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517 800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,00 руб.</w:t>
      </w:r>
      <w:r/>
    </w:p>
    <w:p>
      <w:pPr>
        <w:pStyle w:val="747"/>
        <w:contextualSpacing/>
        <w:ind w:left="0" w:right="0" w:firstLine="737"/>
        <w:jc w:val="both"/>
        <w:spacing w:before="0" w:after="0" w:line="276" w:lineRule="auto"/>
        <w:widowControl/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</w:pPr>
      <w:r/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</w:r>
    </w:p>
    <w:p>
      <w:pPr>
        <w:pStyle w:val="747"/>
        <w:spacing w:before="0" w:after="120" w:line="27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</w:p>
    <w:p>
      <w:pPr>
        <w:pStyle w:val="747"/>
        <w:contextualSpacing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аключения договора аренды земельного участка с кадастровым номером 59:01:5010066:15 площадью 1000 кв. м, расположенного по адресу: Российская Ф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едерация, Пермский край, городской округ Пермский, город Пермь, жилой район Ново-Бродовский, улица Абрикосовая, з/у 37,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lang w:val="ru-RU" w:eastAsia="ru-RU" w:bidi="ar-SA"/>
        </w:rPr>
        <w:t xml:space="preserve">517 800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,00 руб.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электронном аукционе подана одна заявка.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Единственный заявитель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Федорова Надежда Валерьевна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, номер заявки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5901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2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признан несостоявшимся.   </w:t>
      </w:r>
      <w:r/>
    </w:p>
    <w:p>
      <w:pPr>
        <w:pStyle w:val="747"/>
        <w:contextualSpacing/>
        <w:ind w:left="0" w:right="0" w:firstLine="0"/>
        <w:jc w:val="both"/>
        <w:spacing w:before="0" w:after="0" w:line="276" w:lineRule="auto"/>
        <w:widowControl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ому единственным участником аукциона, подписанный проект договора аренды земельного участка. При этом размер ежегодной арендной платы по договору аренды земельного участка определяется       в размере, равном начальной цене предмета аукциона, и составляет </w:t>
      </w:r>
      <w:r>
        <w:rPr>
          <w:rFonts w:eastAsia="Droid Sans Fallback" w:cs="Lohit Devanagari"/>
          <w:b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517 800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,00 руб.</w:t>
      </w:r>
      <w:r/>
    </w:p>
    <w:p>
      <w:pPr>
        <w:spacing w:before="0" w:after="120" w:line="276" w:lineRule="auto"/>
      </w:pPr>
      <w:r/>
      <w:r/>
    </w:p>
    <w:p>
      <w:pPr>
        <w:pStyle w:val="747"/>
        <w:spacing w:before="0" w:after="120" w:line="276" w:lineRule="auto"/>
      </w:pPr>
      <w:r/>
      <w:r/>
    </w:p>
    <w:p>
      <w:pPr>
        <w:pStyle w:val="747"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rFonts w:eastAsia="Droid Sans Fallback" w:cs="Lohit Devanagari"/>
          <w:b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3</w:t>
      </w:r>
      <w:r>
        <w:rPr>
          <w:rFonts w:eastAsia="Droid Sans Fallback" w:cs="Lohit Devanagari"/>
          <w:b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highlight w:val="none"/>
          <w:shd w:val="clear" w:color="auto" w:fill="auto"/>
        </w:rPr>
      </w:r>
    </w:p>
    <w:p>
      <w:pPr>
        <w:pStyle w:val="747"/>
        <w:ind w:left="0" w:right="0" w:firstLine="600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заключения договора аренды земельного участка с кадастровым номером 59:01:5010066:9 площадью 1000 кв. м, расположенного по адресу: Российская Ф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едерация, Пермский край, городской округ Пермский, город Пермь, жилой район Ново-Бродовский, улица Абрикосовая, з/у 41,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7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47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09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: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18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ому времени (0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7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: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18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МС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К).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47"/>
        <w:ind w:left="0" w:right="0" w:firstLine="0"/>
        <w:jc w:val="both"/>
        <w:spacing w:before="0" w:after="0"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2 заявки.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47"/>
        <w:jc w:val="both"/>
        <w:spacing w:before="0" w:after="0" w:line="276" w:lineRule="auto"/>
        <w:widowControl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Сведения об участниках аукцион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а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–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Груздев Игорь Александрович,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Федорова Надежда Валерьевна.</w:t>
      </w:r>
      <w:r>
        <w:rPr>
          <w:highlight w:val="none"/>
          <w:shd w:val="clear" w:color="auto" w:fill="auto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Начальная цена предмета аукциона –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517 800,00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руб.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970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Груздев Игорь Александрович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тсутствует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777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Федорова Надежда Валерьевна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  <w:t xml:space="preserve">543 690,00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val="ru-RU" w:eastAsia="ru-RU" w:bidi="ar-SA"/>
              </w:rPr>
            </w:r>
          </w:p>
        </w:tc>
      </w:tr>
    </w:tbl>
    <w:p>
      <w:pPr>
        <w:pStyle w:val="747"/>
        <w:ind w:firstLine="708"/>
        <w:jc w:val="both"/>
        <w:spacing w:before="0" w:after="0" w:line="276" w:lineRule="auto"/>
      </w:pPr>
      <w:r/>
      <w:r/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543 690,00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тсутствует.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Федорова Надежда Валерьевна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747"/>
        <w:jc w:val="both"/>
        <w:spacing w:before="0" w:after="0" w:line="276" w:lineRule="auto"/>
        <w:widowControl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о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тсутствует.</w:t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543 690,00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  <w:lang w:val="ru-RU" w:eastAsia="ru-RU" w:bidi="ar-SA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47"/>
        <w:ind w:firstLine="708"/>
        <w:jc w:val="both"/>
        <w:spacing w:before="0" w:after="0" w:line="276" w:lineRule="auto"/>
      </w:pPr>
      <w:r/>
      <w:r/>
    </w:p>
    <w:p>
      <w:pPr>
        <w:pStyle w:val="747"/>
        <w:spacing w:before="0" w:after="120" w:line="276" w:lineRule="auto"/>
        <w:rPr>
          <w:highlight w:val="none"/>
          <w:shd w:val="clear" w:color="auto" w:fill="auto"/>
        </w:rPr>
      </w:pPr>
      <w:r>
        <w:rPr>
          <w:rFonts w:eastAsia="Droid Sans Fallback" w:cs="Lohit Devanagari"/>
          <w:b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en-US" w:eastAsia="ru-RU" w:bidi="ar-SA"/>
        </w:rPr>
        <w:t xml:space="preserve">Лот № </w:t>
      </w:r>
      <w:r>
        <w:rPr>
          <w:rFonts w:eastAsia="Droid Sans Fallback" w:cs="Lohit Devanagari"/>
          <w:b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en-US" w:eastAsia="ru-RU" w:bidi="ar-SA"/>
        </w:rPr>
        <w:t xml:space="preserve">4</w:t>
      </w:r>
      <w:r>
        <w:rPr>
          <w:rFonts w:eastAsia="Droid Sans Fallback" w:cs="Lohit Devanagari"/>
          <w:b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en-US" w:eastAsia="ru-RU" w:bidi="ar-SA"/>
        </w:rPr>
        <w:t xml:space="preserve">.</w:t>
      </w:r>
      <w:r>
        <w:rPr>
          <w:highlight w:val="none"/>
          <w:shd w:val="clear" w:color="auto" w:fill="auto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  <w:rPr>
          <w:highlight w:val="none"/>
          <w:shd w:val="clear" w:color="auto" w:fill="auto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Право 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заключения договора аренды земельного участка с кадастровым номером 59:01:5010066:11 площадью 1000 кв. м, расположенного по адресу: Российская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Федерация, Пермский край, городской округ Пермский, город Пермь, жилой район Ново-Бродовский, улица Малиновая, з/у 54,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highlight w:val="none"/>
          <w:shd w:val="clear" w:color="auto" w:fill="auto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Время начала электронного аукциона: 09:00 по местному времени (07:00 МСК).</w:t>
      </w:r>
      <w:r>
        <w:rPr>
          <w:highlight w:val="none"/>
          <w:shd w:val="clear" w:color="auto" w:fill="auto"/>
        </w:rPr>
      </w:r>
    </w:p>
    <w:p>
      <w:pPr>
        <w:pStyle w:val="747"/>
        <w:contextualSpacing/>
        <w:ind w:left="0" w:right="0" w:firstLine="0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09:10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ому времени (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07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: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10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МСК).</w:t>
      </w:r>
      <w:r>
        <w:rPr>
          <w:highlight w:val="none"/>
          <w:shd w:val="clear" w:color="auto" w:fill="auto"/>
        </w:rPr>
      </w:r>
    </w:p>
    <w:p>
      <w:pPr>
        <w:pStyle w:val="747"/>
        <w:ind w:left="0" w:right="0" w:firstLine="0"/>
        <w:jc w:val="both"/>
        <w:spacing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На участие в аукционе поступил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и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3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 заяв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ки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Отказано в допуске к участию в аукционе — 1 заявителю.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widowControl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Сведения об участниках аукцион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а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–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Груздев Игорь Александрович, Шишмагаев Евгений Владимирович.</w:t>
      </w:r>
      <w:r>
        <w:rPr>
          <w:highlight w:val="none"/>
          <w:shd w:val="clear" w:color="auto" w:fill="auto"/>
        </w:rPr>
      </w:r>
    </w:p>
    <w:p>
      <w:pPr>
        <w:pStyle w:val="747"/>
        <w:ind w:left="0" w:right="0" w:firstLine="0"/>
        <w:jc w:val="both"/>
        <w:spacing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Начальная цена предмета аукциона –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517 800,00 р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уб.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276" w:lineRule="auto"/>
        <w:rPr>
          <w:highlight w:val="none"/>
          <w:lang w:val="ru-RU" w:eastAsia="ru-RU" w:bidi="ar-SA"/>
        </w:rPr>
      </w:pPr>
      <w:r>
        <w:rPr>
          <w:lang w:val="ru-RU" w:eastAsia="ru-RU" w:bidi="ar-SA"/>
        </w:rPr>
      </w:r>
      <w:r>
        <w:rPr>
          <w:highlight w:val="none"/>
          <w:lang w:val="ru-RU" w:eastAsia="ru-RU" w:bidi="ar-SA"/>
        </w:rPr>
      </w:r>
    </w:p>
    <w:p>
      <w:pPr>
        <w:pStyle w:val="747"/>
        <w:ind w:left="0" w:right="0" w:firstLine="0"/>
        <w:jc w:val="both"/>
        <w:spacing w:line="65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п/п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Номер заявки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Наименование участника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47"/>
              <w:jc w:val="center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747"/>
              <w:jc w:val="center"/>
              <w:spacing w:line="276" w:lineRule="auto"/>
              <w:rPr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8243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Груздев Игорь Александрович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7136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Шишмагаев Евгений Владимирович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543 690,00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</w:tr>
    </w:tbl>
    <w:p>
      <w:pPr>
        <w:pStyle w:val="747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543 690,00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руб.</w:t>
      </w:r>
      <w:r>
        <w:rPr>
          <w:highlight w:val="none"/>
          <w:shd w:val="clear" w:color="auto" w:fill="auto"/>
        </w:rPr>
      </w:r>
    </w:p>
    <w:p>
      <w:pPr>
        <w:pStyle w:val="747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отсутствует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highlight w:val="none"/>
          <w:shd w:val="clear" w:color="auto" w:fill="auto"/>
        </w:rPr>
      </w:r>
    </w:p>
    <w:p>
      <w:pPr>
        <w:pStyle w:val="747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Шишмагаев Евгений Владимирович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highlight w:val="none"/>
          <w:shd w:val="clear" w:color="auto" w:fill="auto"/>
        </w:rPr>
      </w:r>
    </w:p>
    <w:p>
      <w:pPr>
        <w:pStyle w:val="747"/>
        <w:jc w:val="both"/>
        <w:spacing w:before="0" w:after="0" w:line="276" w:lineRule="auto"/>
        <w:widowControl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отсутствует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highlight w:val="none"/>
          <w:shd w:val="clear" w:color="auto" w:fill="auto"/>
        </w:rPr>
      </w:r>
    </w:p>
    <w:p>
      <w:pPr>
        <w:pStyle w:val="747"/>
        <w:jc w:val="both"/>
        <w:spacing w:before="0" w:after="0" w:line="276" w:lineRule="auto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543 690,00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руб.</w:t>
      </w:r>
      <w:r>
        <w:rPr>
          <w:highlight w:val="none"/>
          <w:shd w:val="clear" w:color="auto" w:fill="auto"/>
        </w:rPr>
      </w:r>
    </w:p>
    <w:p>
      <w:pPr>
        <w:pStyle w:val="747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00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shd w:val="clear" w:color="auto" w:fill="ffff00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00"/>
          <w:lang w:val="ru-RU" w:eastAsia="ru-RU" w:bidi="ar-SA"/>
        </w:rPr>
      </w:r>
    </w:p>
    <w:p>
      <w:pPr>
        <w:pStyle w:val="747"/>
        <w:spacing w:before="0" w:after="120" w:line="276" w:lineRule="auto"/>
        <w:rPr>
          <w:highlight w:val="none"/>
          <w:shd w:val="clear" w:color="auto" w:fill="auto"/>
        </w:rPr>
      </w:pPr>
      <w:r>
        <w:rPr>
          <w:rFonts w:eastAsia="Droid Sans Fallback" w:cs="Lohit Devanagari"/>
          <w:b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en-US" w:eastAsia="ru-RU" w:bidi="ar-SA"/>
        </w:rPr>
        <w:t xml:space="preserve">Лот № </w:t>
      </w:r>
      <w:r>
        <w:rPr>
          <w:rFonts w:eastAsia="Droid Sans Fallback" w:cs="Lohit Devanagari"/>
          <w:b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en-US" w:eastAsia="ru-RU" w:bidi="ar-SA"/>
        </w:rPr>
        <w:t xml:space="preserve">5</w:t>
      </w:r>
      <w:r>
        <w:rPr>
          <w:rFonts w:eastAsia="Droid Sans Fallback" w:cs="Lohit Devanagari"/>
          <w:b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en-US" w:eastAsia="ru-RU" w:bidi="ar-SA"/>
        </w:rPr>
        <w:t xml:space="preserve">.</w:t>
      </w:r>
      <w:r>
        <w:rPr>
          <w:highlight w:val="none"/>
          <w:shd w:val="clear" w:color="auto" w:fill="auto"/>
        </w:rPr>
      </w:r>
    </w:p>
    <w:p>
      <w:pPr>
        <w:pStyle w:val="747"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заключения договора аренды земельного участка с кадастровым номером 59:01:3610017:126 площадью 500 кв. м, располож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енного по адресу: Российская Федерация, Пермский край, городской округ Пермский, город Пермь, переулок Клубный, з/у 14,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747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</w:r>
    </w:p>
    <w:p>
      <w:pPr>
        <w:pStyle w:val="747"/>
        <w:ind w:firstLine="708"/>
        <w:jc w:val="both"/>
        <w:spacing w:line="276" w:lineRule="auto"/>
      </w:pPr>
      <w:r>
        <w:rPr>
          <w:rFonts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74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0" w:right="0" w:firstLine="0"/>
        <w:jc w:val="left"/>
        <w:spacing w:before="0" w:after="0" w:line="276" w:lineRule="auto"/>
        <w:widowControl/>
      </w:pPr>
      <w:r>
        <w:rPr>
          <w:sz w:val="28"/>
          <w:szCs w:val="28"/>
        </w:rPr>
        <w:t xml:space="preserve">Председатель комиссии                                                                             А.А. Хаткевич</w:t>
      </w:r>
      <w:r/>
    </w:p>
    <w:p>
      <w:pPr>
        <w:pStyle w:val="747"/>
        <w:ind w:left="0" w:right="0" w:firstLine="0"/>
        <w:jc w:val="left"/>
        <w:spacing w:before="0" w:after="0" w:line="276" w:lineRule="auto"/>
      </w:pPr>
      <w:r/>
      <w:r/>
    </w:p>
    <w:p>
      <w:pPr>
        <w:pStyle w:val="747"/>
        <w:ind w:left="0" w:right="0" w:firstLine="0"/>
        <w:jc w:val="left"/>
        <w:spacing w:before="120" w:after="120" w:line="276" w:lineRule="auto"/>
        <w:widowControl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  <w:r>
        <w:rPr>
          <w:sz w:val="28"/>
          <w:szCs w:val="28"/>
          <w:highlight w:val="none"/>
        </w:rPr>
      </w:r>
    </w:p>
    <w:p>
      <w:pPr>
        <w:pStyle w:val="747"/>
        <w:ind w:left="0" w:right="0" w:firstLine="0"/>
        <w:jc w:val="left"/>
        <w:spacing w:before="120" w:after="12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47"/>
        <w:ind w:left="0" w:right="0" w:firstLine="0"/>
        <w:jc w:val="left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ind w:left="0" w:right="0" w:firstLine="0"/>
        <w:jc w:val="left"/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0" w:right="0" w:firstLine="0"/>
        <w:jc w:val="left"/>
        <w:spacing w:before="120" w:after="120" w:line="276" w:lineRule="auto"/>
        <w:widowControl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t xml:space="preserve"> </w:t>
      </w:r>
      <w:r>
        <w:rPr>
          <w:sz w:val="28"/>
          <w:szCs w:val="24"/>
        </w:rPr>
        <w:t xml:space="preserve">Ю.И. Четина</w:t>
      </w:r>
      <w:r>
        <w:rPr>
          <w:sz w:val="28"/>
          <w:szCs w:val="28"/>
        </w:rPr>
        <w:t xml:space="preserve"> </w: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020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2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2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0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0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t xml:space="preserve">2</w:t>
                          </w:r>
                          <w:r>
                            <w:rPr>
                              <w:rStyle w:val="7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  <w:color w:val="000000"/>
                      </w:rPr>
                      <w:fldChar w:fldCharType="begin"/>
                    </w:r>
                    <w:r>
                      <w:rPr>
                        <w:rStyle w:val="7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1"/>
                        <w:color w:val="000000"/>
                      </w:rPr>
                      <w:fldChar w:fldCharType="separate"/>
                    </w:r>
                    <w:r>
                      <w:rPr>
                        <w:rStyle w:val="781"/>
                        <w:color w:val="000000"/>
                      </w:rPr>
                      <w:t xml:space="preserve">2</w:t>
                    </w:r>
                    <w:r>
                      <w:rPr>
                        <w:rStyle w:val="781"/>
                        <w:color w:val="000000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48">
    <w:name w:val="Heading 1"/>
    <w:basedOn w:val="747"/>
    <w:qFormat/>
    <w:pPr>
      <w:jc w:val="center"/>
      <w:keepNext/>
      <w:outlineLvl w:val="0"/>
    </w:pPr>
    <w:rPr>
      <w:b/>
      <w:bCs/>
      <w:szCs w:val="20"/>
    </w:rPr>
  </w:style>
  <w:style w:type="paragraph" w:styleId="749">
    <w:name w:val="Heading 2"/>
    <w:basedOn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1">
    <w:name w:val="Heading 4"/>
    <w:basedOn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58">
    <w:name w:val="Heading 2 Char"/>
    <w:uiPriority w:val="9"/>
    <w:qFormat/>
    <w:rPr>
      <w:rFonts w:ascii="Arial" w:hAnsi="Arial" w:eastAsia="Arial" w:cs="Arial"/>
      <w:sz w:val="34"/>
    </w:rPr>
  </w:style>
  <w:style w:type="character" w:styleId="7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6">
    <w:name w:val="Title Char"/>
    <w:uiPriority w:val="10"/>
    <w:qFormat/>
    <w:rPr>
      <w:sz w:val="48"/>
      <w:szCs w:val="48"/>
    </w:rPr>
  </w:style>
  <w:style w:type="character" w:styleId="767">
    <w:name w:val="Subtitle Char"/>
    <w:uiPriority w:val="11"/>
    <w:qFormat/>
    <w:rPr>
      <w:sz w:val="24"/>
      <w:szCs w:val="24"/>
    </w:rPr>
  </w:style>
  <w:style w:type="character" w:styleId="768">
    <w:name w:val="Quote Char"/>
    <w:uiPriority w:val="29"/>
    <w:qFormat/>
    <w:rPr>
      <w:i/>
    </w:rPr>
  </w:style>
  <w:style w:type="character" w:styleId="769">
    <w:name w:val="Intense Quote Char"/>
    <w:uiPriority w:val="30"/>
    <w:qFormat/>
    <w:rPr>
      <w:i/>
    </w:rPr>
  </w:style>
  <w:style w:type="character" w:styleId="770">
    <w:name w:val="Header Char"/>
    <w:uiPriority w:val="99"/>
    <w:qFormat/>
  </w:style>
  <w:style w:type="character" w:styleId="771">
    <w:name w:val="Footer Char"/>
    <w:uiPriority w:val="99"/>
    <w:qFormat/>
  </w:style>
  <w:style w:type="character" w:styleId="772">
    <w:name w:val="Caption Char"/>
    <w:uiPriority w:val="99"/>
    <w:qFormat/>
  </w:style>
  <w:style w:type="character" w:styleId="773">
    <w:name w:val="Hyperlink"/>
    <w:uiPriority w:val="99"/>
    <w:unhideWhenUsed/>
    <w:rPr>
      <w:color w:val="0000ff" w:themeColor="hyperlink"/>
      <w:u w:val="single"/>
    </w:rPr>
  </w:style>
  <w:style w:type="character" w:styleId="774">
    <w:name w:val="Footnote Text Char"/>
    <w:uiPriority w:val="99"/>
    <w:qFormat/>
    <w:rPr>
      <w:sz w:val="18"/>
    </w:rPr>
  </w:style>
  <w:style w:type="character" w:styleId="775">
    <w:name w:val="Символ сноски"/>
    <w:uiPriority w:val="99"/>
    <w:unhideWhenUsed/>
    <w:qFormat/>
    <w:rPr>
      <w:vertAlign w:val="superscript"/>
    </w:rPr>
  </w:style>
  <w:style w:type="character" w:styleId="776">
    <w:name w:val="footnote reference"/>
    <w:rPr>
      <w:vertAlign w:val="superscript"/>
    </w:rPr>
  </w:style>
  <w:style w:type="character" w:styleId="777">
    <w:name w:val="Endnote Text Char"/>
    <w:uiPriority w:val="99"/>
    <w:qFormat/>
    <w:rPr>
      <w:sz w:val="20"/>
    </w:rPr>
  </w:style>
  <w:style w:type="character" w:styleId="7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9">
    <w:name w:val="endnote reference"/>
    <w:rPr>
      <w:vertAlign w:val="superscript"/>
    </w:rPr>
  </w:style>
  <w:style w:type="character" w:styleId="780">
    <w:name w:val="Основной шрифт абзаца"/>
    <w:semiHidden/>
    <w:qFormat/>
  </w:style>
  <w:style w:type="character" w:styleId="781">
    <w:name w:val="Page Number"/>
    <w:basedOn w:val="780"/>
  </w:style>
  <w:style w:type="character" w:styleId="782">
    <w:name w:val="Основной текст с отступом 3 Знак"/>
    <w:qFormat/>
    <w:rPr>
      <w:sz w:val="24"/>
      <w:szCs w:val="24"/>
    </w:rPr>
  </w:style>
  <w:style w:type="character" w:styleId="783">
    <w:name w:val="Текст Знак"/>
    <w:qFormat/>
    <w:rPr>
      <w:rFonts w:ascii="Courier New" w:hAnsi="Courier New"/>
    </w:rPr>
  </w:style>
  <w:style w:type="character" w:styleId="784">
    <w:name w:val="Основной текст с отступом Знак"/>
    <w:qFormat/>
    <w:rPr>
      <w:sz w:val="24"/>
      <w:szCs w:val="24"/>
    </w:rPr>
  </w:style>
  <w:style w:type="character" w:styleId="785">
    <w:name w:val="Основной текст 2 Знак"/>
    <w:qFormat/>
    <w:rPr>
      <w:sz w:val="24"/>
      <w:szCs w:val="24"/>
    </w:rPr>
  </w:style>
  <w:style w:type="character" w:styleId="786">
    <w:name w:val="Текст выноски Знак"/>
    <w:qFormat/>
    <w:rPr>
      <w:rFonts w:ascii="Tahoma" w:hAnsi="Tahoma" w:cs="Tahoma"/>
      <w:sz w:val="16"/>
      <w:szCs w:val="16"/>
    </w:rPr>
  </w:style>
  <w:style w:type="character" w:styleId="787" w:default="1">
    <w:name w:val="Default Paragraph Font"/>
    <w:uiPriority w:val="1"/>
    <w:semiHidden/>
    <w:unhideWhenUsed/>
    <w:qFormat/>
  </w:style>
  <w:style w:type="paragraph" w:styleId="788">
    <w:name w:val="Заголовок"/>
    <w:basedOn w:val="747"/>
    <w:next w:val="789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89">
    <w:name w:val="Body Text"/>
    <w:basedOn w:val="747"/>
    <w:pPr>
      <w:jc w:val="right"/>
    </w:pPr>
    <w:rPr>
      <w:sz w:val="28"/>
    </w:rPr>
  </w:style>
  <w:style w:type="paragraph" w:styleId="790">
    <w:name w:val="List"/>
    <w:basedOn w:val="789"/>
    <w:rPr>
      <w:rFonts w:cs="Lohit Devanagari"/>
    </w:rPr>
  </w:style>
  <w:style w:type="paragraph" w:styleId="791">
    <w:name w:val="Caption"/>
    <w:basedOn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2">
    <w:name w:val="Указатель"/>
    <w:basedOn w:val="747"/>
    <w:qFormat/>
    <w:pPr>
      <w:suppressLineNumbers/>
    </w:pPr>
    <w:rPr>
      <w:rFonts w:cs="Lohit Devanagari"/>
    </w:rPr>
  </w:style>
  <w:style w:type="paragraph" w:styleId="793">
    <w:name w:val="List Paragraph"/>
    <w:basedOn w:val="747"/>
    <w:uiPriority w:val="34"/>
    <w:qFormat/>
    <w:pPr>
      <w:contextualSpacing/>
      <w:ind w:left="720"/>
      <w:spacing w:before="0" w:after="0"/>
    </w:pPr>
  </w:style>
  <w:style w:type="paragraph" w:styleId="79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95">
    <w:name w:val="Title"/>
    <w:basedOn w:val="7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6">
    <w:name w:val="Subtitle"/>
    <w:basedOn w:val="747"/>
    <w:uiPriority w:val="11"/>
    <w:qFormat/>
    <w:pPr>
      <w:spacing w:before="200" w:after="200"/>
    </w:pPr>
    <w:rPr>
      <w:sz w:val="24"/>
      <w:szCs w:val="24"/>
    </w:rPr>
  </w:style>
  <w:style w:type="paragraph" w:styleId="797">
    <w:name w:val="Quote"/>
    <w:basedOn w:val="747"/>
    <w:uiPriority w:val="29"/>
    <w:qFormat/>
    <w:pPr>
      <w:ind w:left="720" w:right="720"/>
    </w:pPr>
    <w:rPr>
      <w:i/>
    </w:rPr>
  </w:style>
  <w:style w:type="paragraph" w:styleId="798">
    <w:name w:val="Intense Quote"/>
    <w:basedOn w:val="7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9">
    <w:name w:val="Колонтитул"/>
    <w:basedOn w:val="747"/>
    <w:qFormat/>
  </w:style>
  <w:style w:type="paragraph" w:styleId="800">
    <w:name w:val="Header"/>
    <w:basedOn w:val="74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01">
    <w:name w:val="Footer"/>
    <w:basedOn w:val="74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2">
    <w:name w:val="footnote text"/>
    <w:basedOn w:val="7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3">
    <w:name w:val="endnote text"/>
    <w:basedOn w:val="7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4">
    <w:name w:val="toc 1"/>
    <w:basedOn w:val="747"/>
    <w:uiPriority w:val="39"/>
    <w:unhideWhenUsed/>
    <w:pPr>
      <w:ind w:left="0" w:right="0" w:firstLine="0"/>
      <w:spacing w:before="0" w:after="57"/>
    </w:pPr>
  </w:style>
  <w:style w:type="paragraph" w:styleId="805">
    <w:name w:val="toc 2"/>
    <w:basedOn w:val="747"/>
    <w:uiPriority w:val="39"/>
    <w:unhideWhenUsed/>
    <w:pPr>
      <w:ind w:left="283" w:right="0" w:firstLine="0"/>
      <w:spacing w:before="0" w:after="57"/>
    </w:pPr>
  </w:style>
  <w:style w:type="paragraph" w:styleId="806">
    <w:name w:val="toc 3"/>
    <w:basedOn w:val="747"/>
    <w:uiPriority w:val="39"/>
    <w:unhideWhenUsed/>
    <w:pPr>
      <w:ind w:left="567" w:right="0" w:firstLine="0"/>
      <w:spacing w:before="0" w:after="57"/>
    </w:pPr>
  </w:style>
  <w:style w:type="paragraph" w:styleId="807">
    <w:name w:val="toc 4"/>
    <w:basedOn w:val="747"/>
    <w:uiPriority w:val="39"/>
    <w:unhideWhenUsed/>
    <w:pPr>
      <w:ind w:left="850" w:right="0" w:firstLine="0"/>
      <w:spacing w:before="0" w:after="57"/>
    </w:pPr>
  </w:style>
  <w:style w:type="paragraph" w:styleId="808">
    <w:name w:val="toc 5"/>
    <w:basedOn w:val="747"/>
    <w:uiPriority w:val="39"/>
    <w:unhideWhenUsed/>
    <w:pPr>
      <w:ind w:left="1134" w:right="0" w:firstLine="0"/>
      <w:spacing w:before="0" w:after="57"/>
    </w:pPr>
  </w:style>
  <w:style w:type="paragraph" w:styleId="809">
    <w:name w:val="toc 6"/>
    <w:basedOn w:val="747"/>
    <w:uiPriority w:val="39"/>
    <w:unhideWhenUsed/>
    <w:pPr>
      <w:ind w:left="1417" w:right="0" w:firstLine="0"/>
      <w:spacing w:before="0" w:after="57"/>
    </w:pPr>
  </w:style>
  <w:style w:type="paragraph" w:styleId="810">
    <w:name w:val="toc 7"/>
    <w:basedOn w:val="747"/>
    <w:uiPriority w:val="39"/>
    <w:unhideWhenUsed/>
    <w:pPr>
      <w:ind w:left="1701" w:right="0" w:firstLine="0"/>
      <w:spacing w:before="0" w:after="57"/>
    </w:pPr>
  </w:style>
  <w:style w:type="paragraph" w:styleId="811">
    <w:name w:val="toc 8"/>
    <w:basedOn w:val="747"/>
    <w:uiPriority w:val="39"/>
    <w:unhideWhenUsed/>
    <w:pPr>
      <w:ind w:left="1984" w:right="0" w:firstLine="0"/>
      <w:spacing w:before="0" w:after="57"/>
    </w:pPr>
  </w:style>
  <w:style w:type="paragraph" w:styleId="812">
    <w:name w:val="toc 9"/>
    <w:basedOn w:val="747"/>
    <w:uiPriority w:val="39"/>
    <w:unhideWhenUsed/>
    <w:pPr>
      <w:ind w:left="2268" w:right="0" w:firstLine="0"/>
      <w:spacing w:before="0" w:after="57"/>
    </w:pPr>
  </w:style>
  <w:style w:type="paragraph" w:styleId="813">
    <w:name w:val="Index Heading"/>
    <w:basedOn w:val="788"/>
  </w:style>
  <w:style w:type="paragraph" w:styleId="81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15">
    <w:name w:val="table of figures"/>
    <w:basedOn w:val="747"/>
    <w:uiPriority w:val="99"/>
    <w:unhideWhenUsed/>
    <w:pPr>
      <w:spacing w:before="0" w:after="0" w:afterAutospacing="0"/>
    </w:pPr>
  </w:style>
  <w:style w:type="paragraph" w:styleId="816">
    <w:name w:val="Основной текст с отступом 2"/>
    <w:basedOn w:val="747"/>
    <w:qFormat/>
    <w:pPr>
      <w:ind w:left="4962" w:hanging="4395"/>
      <w:jc w:val="both"/>
    </w:pPr>
    <w:rPr>
      <w:szCs w:val="20"/>
    </w:rPr>
  </w:style>
  <w:style w:type="paragraph" w:styleId="817">
    <w:name w:val="Текст"/>
    <w:basedOn w:val="747"/>
    <w:qFormat/>
    <w:rPr>
      <w:rFonts w:ascii="Courier New" w:hAnsi="Courier New"/>
      <w:sz w:val="20"/>
      <w:szCs w:val="20"/>
      <w:lang w:val="en-US" w:eastAsia="en-US"/>
    </w:rPr>
  </w:style>
  <w:style w:type="paragraph" w:styleId="818">
    <w:name w:val="Основной текст с отступом 3"/>
    <w:basedOn w:val="747"/>
    <w:qFormat/>
    <w:pPr>
      <w:ind w:left="5610"/>
    </w:pPr>
    <w:rPr>
      <w:lang w:val="en-US" w:eastAsia="en-US"/>
    </w:rPr>
  </w:style>
  <w:style w:type="paragraph" w:styleId="819">
    <w:name w:val="Body Text Indent"/>
    <w:basedOn w:val="747"/>
    <w:pPr>
      <w:ind w:left="283"/>
      <w:spacing w:before="0" w:after="120"/>
    </w:pPr>
    <w:rPr>
      <w:lang w:val="en-US" w:eastAsia="en-US"/>
    </w:rPr>
  </w:style>
  <w:style w:type="paragraph" w:styleId="820">
    <w:name w:val="Основной текст 2"/>
    <w:basedOn w:val="747"/>
    <w:qFormat/>
    <w:pPr>
      <w:spacing w:before="0" w:after="120" w:line="480" w:lineRule="auto"/>
    </w:pPr>
    <w:rPr>
      <w:lang w:val="en-US" w:eastAsia="en-US"/>
    </w:rPr>
  </w:style>
  <w:style w:type="paragraph" w:styleId="821">
    <w:name w:val="Основной текст 3"/>
    <w:basedOn w:val="747"/>
    <w:qFormat/>
    <w:pPr>
      <w:spacing w:before="0" w:after="120"/>
    </w:pPr>
    <w:rPr>
      <w:sz w:val="16"/>
      <w:szCs w:val="16"/>
    </w:rPr>
  </w:style>
  <w:style w:type="paragraph" w:styleId="822">
    <w:name w:val="Заголовок,Название"/>
    <w:basedOn w:val="747"/>
    <w:qFormat/>
    <w:pPr>
      <w:ind w:firstLine="567"/>
      <w:jc w:val="center"/>
    </w:pPr>
    <w:rPr>
      <w:b/>
      <w:szCs w:val="20"/>
    </w:rPr>
  </w:style>
  <w:style w:type="paragraph" w:styleId="823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824">
    <w:name w:val="Знак Знак Знак Знак Знак Знак Знак Знак Знак Знак Знак Знак"/>
    <w:basedOn w:val="747"/>
    <w:qFormat/>
    <w:rPr>
      <w:rFonts w:ascii="Verdana" w:hAnsi="Verdana" w:cs="Verdana"/>
      <w:sz w:val="20"/>
      <w:szCs w:val="20"/>
      <w:lang w:val="en-US" w:eastAsia="en-US"/>
    </w:rPr>
  </w:style>
  <w:style w:type="paragraph" w:styleId="825">
    <w:name w:val="Текст выноски"/>
    <w:basedOn w:val="747"/>
    <w:qFormat/>
    <w:rPr>
      <w:rFonts w:ascii="Tahoma" w:hAnsi="Tahoma" w:cs="Tahoma"/>
      <w:sz w:val="16"/>
      <w:szCs w:val="16"/>
    </w:rPr>
  </w:style>
  <w:style w:type="paragraph" w:styleId="826">
    <w:name w:val="Содержимое врезки"/>
    <w:basedOn w:val="747"/>
    <w:qFormat/>
  </w:style>
  <w:style w:type="paragraph" w:styleId="827">
    <w:name w:val="Содержимое таблицы"/>
    <w:basedOn w:val="747"/>
    <w:qFormat/>
    <w:pPr>
      <w:widowControl w:val="off"/>
      <w:suppressLineNumbers/>
    </w:pPr>
  </w:style>
  <w:style w:type="paragraph" w:styleId="828">
    <w:name w:val="Заголовок таблицы"/>
    <w:basedOn w:val="827"/>
    <w:qFormat/>
    <w:pPr>
      <w:jc w:val="center"/>
      <w:suppressLineNumbers/>
    </w:pPr>
    <w:rPr>
      <w:b/>
      <w:bCs/>
    </w:rPr>
  </w:style>
  <w:style w:type="numbering" w:styleId="829">
    <w:name w:val="Нет списка"/>
    <w:semiHidden/>
    <w:qFormat/>
  </w:style>
  <w:style w:type="numbering" w:styleId="830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7" w:default="1">
    <w:name w:val="Normal Table"/>
    <w:uiPriority w:val="99"/>
    <w:semiHidden/>
    <w:unhideWhenUsed/>
    <w:tblPr/>
  </w:style>
  <w:style w:type="table" w:styleId="958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174</cp:revision>
  <dcterms:created xsi:type="dcterms:W3CDTF">2023-09-08T05:38:00Z</dcterms:created>
  <dcterms:modified xsi:type="dcterms:W3CDTF">2025-12-16T04:42:49Z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