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24.12.2025 № 059-19-01-11-200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23.01.2026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24.12.2025 № 059-19-01-11-200.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/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/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1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21 ноября 2025 г. № 21-01-03-8989 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60г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59:01:1717124:339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№ КУВИ-001/2025-226662536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14.11.2025 № РФ-59-2-03-0-00-2025-2773-0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 электроснабжения, рассолопроводы.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658709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защитных зонах предприятий: частично ПЕРМХИМ ООО, </w:t>
              <w:br/>
              <w:t>ООО «Пермскаяхимическая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потребителей и благополучия человека </w:t>
              <w:br/>
              <w:t>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защитной зоны для </w:t>
              <w:br/>
              <w:t xml:space="preserve">ООО «Пермская химическая компания» от 20.01.2023 </w:t>
              <w:br/>
              <w:t>№ 11 -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13 деревьев пород – береза 8 шт., ива 1 шт., осина 4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 благоустройства администрации города Перми, </w:t>
              <w:br/>
              <w:t>в настоящее время отсутствует улично-дорожная сеть для примыкания земельных участков. Рассмотрение данного вопроса возможно после принятия решения 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</w:t>
              <w:br/>
              <w:t>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В соответствии копией планшета М 1:500, требующего корректуры, в границах земельного участка с кадастровым номером 59:01:1717124:337 расположены сети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</w:t>
              <w:br/>
              <w:t>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7982 кв. м (3326*2,4).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975 кв. м </w:t>
              <w:br/>
              <w:t>для одноэтажных объектов капитального строительства, 1472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1693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</w:t>
              <w:br/>
              <w:t>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 - Прикамье» </w:t>
              <w:br/>
              <w:t xml:space="preserve">не располагает сведениями о наличии сетей 3-х лиц </w:t>
              <w:br/>
              <w:t xml:space="preserve"> границах вышеуказанных земельных участков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1 035 700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51 785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517 850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2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21-01-03-9094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60д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№ КУВИ-001/2025-226662452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РФ-59-2-03-0-00-2025-2780-0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658729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17 деревьев пород – береза 9 шт., ива 3 шт., осина 5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дорог и благоустройства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таблицей Б.1 «Показатели плотности застройки участков территориальных зон» </w:t>
              <w:br/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</w:t>
              <w:br/>
              <w:t>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12405 кв. м (5169*2,4).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1515 кв. м для одноэтажных объектов капитального строительства, 2289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1116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для технологического присоединения потребителей трансформаторной мощности по подстанциям </w:t>
              <w:br/>
              <w:t>и распределительным пунктам с дифференциацией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</w:rPr>
              <w:t>от 07.10.2025 № 059-04-17/3-959-ри).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34 145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3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21-01-03-9105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60е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№ КУВИ-001/2025-226662517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РФ-59-2-03-0-00-2025-2731-0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658764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>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18 деревьев пород – береза 11 шт., сосна 1 шт., осина 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12405 кв. м (5169*2,4).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1515 кв. м для одноэтажных объектов капитального строительства, 2289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1660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Следовательно, технические условия </w:t>
              <w:br/>
              <w:t xml:space="preserve">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27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9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1 015 400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50 770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507 700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4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от 25 ноября 2025 г. № 21-01-03-9100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60и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КУВИ-001/2025-226665628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РФ-59-2-03-0-00-2025-2732-0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ходе проведения осмотра</w:t>
            </w:r>
            <w:r>
              <w:rPr>
                <w:color w:val="auto"/>
                <w:sz w:val="24"/>
                <w:szCs w:val="24"/>
              </w:rPr>
              <w:t xml:space="preserve"> земельного участка с кадастровым номером 5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9:01:1717124:338 установлено, что доступ к земельному участку не ограничен, земельный участок не огорожен. В границах земельного участка расположены элементы бетонных конструкций, столбы сетей электроснабжения, произрастает древесно-кустарниковая растительность. Водные объекты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б/н)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В соответствии с копией планшета М 1:500 (требующей корректуры), в границах Участка расположены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658872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ПЕРМХИМ ООО, ООО «Пермская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>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РС33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56 деревьев пород – осина 9 шт., береза 42 шт., ива 5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>По информации, имеющейся в департаменте дорог и благоустройства администрации города Перми, в настоящее время отсутствует улично-дорожная сеть для примыкания земельных участков. Рассмотрение данного вопроса возможно после принятия решения 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Информация о подразделениях пожарной охраны 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В соответствии копией планшета М 1:500, требующего корректуры, в границах земельного участка с кадастровым номером 59:01:1717124:338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8316 кв. м (3465*2,4).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1016 кв. м для одноэтажных объектов капитального строительства, 1534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1183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Процедура технологического присоединения осуществляется в соответствии с нормами действующего законодательства: Федеральным законом от 26.03.2003 </w:t>
              <w:br/>
              <w:t>№ 35-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Размер платы, объем мероприятий и сроки исполнения данных мероприятий будут определены договором 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19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о заключении договора о подключении (технологическом присоединении) по типовой форме с пакетом документов в соответствии с п.11,16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3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4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от 09.10.2025 № 01/05/149268/25 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724 100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36 205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362 050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5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>от 25 ноября 2025 г. № 21-01-03-9107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60к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59:01:1717124:335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КУВИ-001/2025-226665631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24.10.2025 № РФ-59-2-03-0-00-2025-2608-0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 и акту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59:01:1717124:335 установлено, что доступ к земельному участку не ограничен, земельный участок не огорожен. В границах земельного участка произрастают сельскохозяйственные культуры, древесно-кустарниковая растительность, водные, капитальные/некапитальные объекты,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658918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ВЛ-110 КВ ТЭЦ-14 - «КРЫМ» Ц.1, 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зона публичного сервитута для эксплуатации объекта электросетевого хозяйства ВЛ-110 кВ ТЭЦ-14 - Крым ц.1, 2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17 деревьев пород – береза 17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10843 кв. м (4518*2,4).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1324 кв. м </w:t>
              <w:br/>
              <w:t>для одноэтажных объектов капитального строительства, 2000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1103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Процедура технологического присоединения осуществляется в соответствии с нормами действующего законодательства: Федеральным законом от 26.03.2003 </w:t>
              <w:br/>
              <w:t>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8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</w:t>
              <w:br/>
              <w:t>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5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32 525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325 250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6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от 24 ноября 2025 г. № 21-01-03-9054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60м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5107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КУВИ-001/2025-226665623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16.10.2025 № РФ-59-2-03-0-00-2025-2531-0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 и акту обследования </w:t>
            </w:r>
            <w:r>
              <w:rPr>
                <w:color w:val="000000"/>
                <w:sz w:val="24"/>
                <w:szCs w:val="24"/>
                <w:shd w:fill="FFFFFF" w:val="clear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59:01:1717124:331 установлено, что доступ к земельному участку не ограничен, земельный участок не огорожен. В границах земельного участка расположена сеть электроснабжения, произрастают сельскохозяйственные культуры, древесно-кустарниковая растительность,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59:01:0000000:48186 – линейное сооружение (Электросетевой комплекс (ЭСК) «Транзит 110-5»).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658939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охранная зона ВЛ-110 КВ ТЭЦ-14 - «КРЫМ» Ц.1, 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частично зона публичного сервитута для эксплуатации объекта электросетевого хозяйства ВЛ-110 кВ ТЭЦ-14 - Крым ц.1, 2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000000"/>
                <w:sz w:val="24"/>
                <w:szCs w:val="24"/>
                <w:shd w:fill="FFFFFF" w:val="clear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000000"/>
                <w:sz w:val="24"/>
                <w:szCs w:val="24"/>
                <w:shd w:fill="FFFFFF" w:val="clear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9 деревьев пород – осина 3 шт., береза 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 xml:space="preserve"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>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color w:val="auto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7982 кв. м (3326*2,4).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975 кв. м для одноэтажных объектов капитального строительства, 1473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1103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 xml:space="preserve">на технологическое присоединение с указанием сведений </w:t>
              <w:br/>
              <w:t>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п.11,16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сообщаем, в связи с тем, </w:t>
              <w:br/>
              <w:t xml:space="preserve">что 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</w:t>
              <w:br/>
              <w:t>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от 07.10.2025 № 059-04-17/3-959-ри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6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 реквизиты которого указаны в проекте договора аренды земельного участка (Приложение 6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647 700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32 385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323 850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6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27.12.2025</w:t>
      </w:r>
      <w:r>
        <w:rPr>
          <w:rFonts w:eastAsia="Courier New"/>
          <w:lang w:bidi="ru-RU"/>
        </w:rPr>
        <w:t xml:space="preserve"> в 9:00 </w:t>
      </w:r>
      <w:r>
        <w:rPr/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21.01.2026</w:t>
      </w:r>
      <w:r>
        <w:rPr>
          <w:rFonts w:eastAsia="Courier New"/>
          <w:lang w:bidi="ru-RU"/>
        </w:rPr>
        <w:t xml:space="preserve"> </w:t>
      </w:r>
      <w:r>
        <w:rPr/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22.01.2026.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/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23.01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/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/>
        <w:br w:type="textWrapping" w:clear="all"/>
      </w:r>
      <w:r>
        <w:rPr>
          <w:bCs/>
          <w:lang w:bidi="ru-RU"/>
        </w:rPr>
        <w:t>c 27.12.2025 по 21.01.2026.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/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/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27.12.2025 по 21.01.2026 с 9.00 до 18.00 по местному времени (7:00 – 16:00 МСК). </w:t>
      </w:r>
    </w:p>
    <w:p>
      <w:pPr>
        <w:pStyle w:val="NormalWeb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/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/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sz w:val="24"/>
          <w:szCs w:val="24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/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/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/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/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/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/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/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/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/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/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/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/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1-6  к настоящему извещению.</w:t>
        <w:tab/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4"/>
      <w:headerReference w:type="first" r:id="rId3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76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>
    <w:name w:val="Заголовок 6 Знак1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1">
    <w:name w:val="Заголовок Знак1"/>
    <w:qFormat/>
    <w:rPr>
      <w:sz w:val="48"/>
      <w:szCs w:val="48"/>
    </w:rPr>
  </w:style>
  <w:style w:type="character" w:styleId="Style5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6">
    <w:name w:val="Выделенная цитата Знак"/>
    <w:qFormat/>
    <w:rPr>
      <w:i/>
    </w:rPr>
  </w:style>
  <w:style w:type="character" w:styleId="12">
    <w:name w:val="Верхний колонтитул Знак1"/>
    <w:qFormat/>
    <w:rPr/>
  </w:style>
  <w:style w:type="character" w:styleId="FooterChar">
    <w:name w:val="Footer Char"/>
    <w:qFormat/>
    <w:rPr/>
  </w:style>
  <w:style w:type="character" w:styleId="13">
    <w:name w:val="Нижний колонтитул Знак1"/>
    <w:qFormat/>
    <w:rPr/>
  </w:style>
  <w:style w:type="character" w:styleId="Style7">
    <w:name w:val="Текст сноски Знак"/>
    <w:qFormat/>
    <w:rPr>
      <w:sz w:val="18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>
    <w:name w:val="Текст концевой сноски Знак"/>
    <w:qFormat/>
    <w:rPr>
      <w:sz w:val="20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16"/>
      <w:szCs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Текст Знак"/>
    <w:qFormat/>
    <w:rPr>
      <w:rFonts w:ascii="Courier New" w:hAnsi="Courier New" w:cs="Courier New"/>
    </w:rPr>
  </w:style>
  <w:style w:type="character" w:styleId="Style12">
    <w:name w:val="Верхний колонтитул Знак"/>
    <w:qFormat/>
    <w:rPr>
      <w:sz w:val="16"/>
      <w:lang w:val="ru-RU" w:bidi="ar-SA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4">
    <w:name w:val="Название Знак"/>
    <w:qFormat/>
    <w:rPr>
      <w:sz w:val="28"/>
      <w:lang w:val="ru-RU" w:bidi="ar-SA"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pacing w:lineRule="auto" w:line="240" w:before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mailto:perm-mail@ural.rt.ru.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mailto:perm-mail@ural.rt.ru.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mailto:perm-mail@ural.rt.ru.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gorodperm.ru/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mailto:perm-mail@ural.rt.ru." TargetMode="External"/><Relationship Id="rId33" Type="http://schemas.openxmlformats.org/officeDocument/2006/relationships/hyperlink" Target="http://utp.sberbank-ast.ru/AP/Notice/653/Requisites" TargetMode="External"/><Relationship Id="rId34" Type="http://schemas.openxmlformats.org/officeDocument/2006/relationships/header" Target="header1.xml"/><Relationship Id="rId35" Type="http://schemas.openxmlformats.org/officeDocument/2006/relationships/header" Target="header2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Application>LibreOffice/7.6.7.2$Linux_X86_64 LibreOffice_project/60$Build-2</Application>
  <AppVersion>15.0000</AppVersion>
  <Pages>76</Pages>
  <Words>23057</Words>
  <Characters>170141</Characters>
  <CharactersWithSpaces>192763</CharactersWithSpaces>
  <Paragraphs>953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2025-12-24T10:23:27Z</dcterms:modified>
  <cp:revision>340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