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21.01.2026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22.01.2026 (процедура № SBR012-2512160070),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номером, государственная собственность на который не разграничена, 59:01:3210373:272 площадью 1316 кв. м, расположенный по адресу: Российская Федерация, Пермский край, городской округ Пермский, город Пермь, улица Конечная, з/у 3а,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43"/>
        <w:gridCol w:w="2259"/>
        <w:gridCol w:w="2253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Пеньевский Владимир Алексеевич,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9921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19.01.2026 18:28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2 401 000,00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>№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1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1 (улица Конечная, з/у 3а) – 4 802 000,00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земельный участок с кадастровым номером, государственная собственность на который не разграничена, 59:01:3812844:151 площадью 1147 кв. м, расположенный по адресу: Российская Федерация, Пермский край, городской округ Пермский, город Пермь, улица Токарная, з/у 27,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LibreOffice/7.6.7.2$Linux_X86_64 LibreOffice_project/60$Build-2</Application>
  <AppVersion>15.0000</AppVersion>
  <Pages>3</Pages>
  <Words>532</Words>
  <Characters>3813</Characters>
  <CharactersWithSpaces>4707</CharactersWithSpaces>
  <Paragraphs>42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2026-01-21T10:14:06Z</dcterms:modified>
  <cp:revision>1105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