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Протокол о результатах электронного аукциона</w:t>
      </w:r>
    </w:p>
    <w:p>
      <w:pPr>
        <w:pStyle w:val="Normal"/>
        <w:numPr>
          <w:ilvl w:val="0"/>
          <w:numId w:val="0"/>
        </w:numPr>
        <w:ind w:hanging="0" w:left="0"/>
        <w:jc w:val="center"/>
        <w:outlineLvl w:val="0"/>
        <w:rPr>
          <w:b/>
          <w:sz w:val="28"/>
          <w:szCs w:val="28"/>
        </w:rPr>
      </w:pPr>
      <w:r>
        <w:rPr>
          <w:b/>
          <w:sz w:val="28"/>
          <w:szCs w:val="28"/>
        </w:rPr>
        <w:t>на право заключения договора аренды земельного участка</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22.01.2026,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электронного аукциона: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электронного аукциона: </w:t>
      </w:r>
      <w:r>
        <w:rPr>
          <w:b w:val="false"/>
          <w:bCs w:val="false"/>
          <w:sz w:val="28"/>
          <w:szCs w:val="28"/>
        </w:rPr>
        <w:t>22</w:t>
      </w:r>
      <w:r>
        <w:rPr>
          <w:sz w:val="28"/>
          <w:szCs w:val="28"/>
        </w:rPr>
        <w:t>.01.2026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rPr>
        <w:t xml:space="preserve">Право </w:t>
      </w:r>
      <w:r>
        <w:rPr>
          <w:rFonts w:eastAsia="Droid Sans Fallback" w:cs="Lohit Devanagari"/>
          <w:color w:val="auto"/>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59:01:5010049:9 площадью 1100 кв. м, расположенного по адресу: Российская Федерация, Пермский край, городской округ Пермский, город Пермь, жилой район Ново-Бродовский, улица Зимняя, з/у 7,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contextualSpacing/>
        <w:jc w:val="both"/>
        <w:rPr>
          <w:highlight w:val="none"/>
          <w:shd w:fill="auto" w:val="clear"/>
        </w:rPr>
      </w:pPr>
      <w:r>
        <w:rPr>
          <w:rFonts w:eastAsia="Times New Roman" w:cs="Times New Roman"/>
          <w:b w:val="false"/>
          <w:bCs w:val="false"/>
          <w:color w:themeColor="text1" w:val="000000"/>
          <w:sz w:val="28"/>
          <w:szCs w:val="28"/>
          <w:shd w:fill="auto" w:val="clear"/>
          <w:lang w:val="ru-RU" w:eastAsia="ru-RU" w:bidi="ar-SA"/>
        </w:rPr>
        <w:t>Время окончания электронного аукциона: 10:34 по местн</w:t>
      </w:r>
      <w:r>
        <w:rPr>
          <w:rFonts w:eastAsia="Times New Roman" w:cs="Times New Roman"/>
          <w:color w:themeColor="text1" w:val="000000"/>
          <w:sz w:val="28"/>
          <w:szCs w:val="28"/>
          <w:shd w:fill="auto" w:val="clear"/>
          <w:lang w:val="ru-RU" w:eastAsia="ru-RU" w:bidi="ar-SA"/>
        </w:rPr>
        <w:t>ому времени (08:34 МСК).</w:t>
      </w:r>
    </w:p>
    <w:p>
      <w:pPr>
        <w:pStyle w:val="Normal"/>
        <w:spacing w:lineRule="auto" w:line="276"/>
        <w:ind w:hanging="0" w:left="0" w:right="0"/>
        <w:jc w:val="both"/>
        <w:rPr>
          <w:highlight w:val="none"/>
          <w:shd w:fill="auto" w:val="clear"/>
        </w:rPr>
      </w:pPr>
      <w:r>
        <w:rPr>
          <w:rFonts w:eastAsia="Times New Roman" w:cs="Times New Roman"/>
          <w:color w:themeColor="text1" w:val="000000"/>
          <w:sz w:val="28"/>
          <w:szCs w:val="28"/>
          <w:shd w:fill="auto" w:val="clear"/>
          <w:lang w:val="ru-RU" w:eastAsia="ru-RU" w:bidi="ar-SA"/>
        </w:rPr>
        <w:t>На участие в аукционе поступило 12 заявок.</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Сведения об участниках аукцион</w:t>
      </w:r>
      <w:r>
        <w:rPr>
          <w:rFonts w:eastAsia="Times New Roman" w:cs="Times New Roman"/>
          <w:b w:val="false"/>
          <w:bCs w:val="false"/>
          <w:color w:themeColor="text1" w:val="000000"/>
          <w:sz w:val="28"/>
          <w:szCs w:val="28"/>
          <w:shd w:fill="auto" w:val="clear"/>
          <w:lang w:val="ru-RU" w:eastAsia="ru-RU" w:bidi="ar-SA"/>
        </w:rPr>
        <w:t xml:space="preserve">а </w:t>
      </w:r>
      <w:r>
        <w:rPr>
          <w:rFonts w:eastAsia="Times New Roman" w:cs="Times New Roman"/>
          <w:color w:themeColor="text1" w:val="000000"/>
          <w:sz w:val="28"/>
          <w:szCs w:val="28"/>
          <w:shd w:fill="auto" w:val="clear"/>
          <w:lang w:val="ru-RU" w:eastAsia="ru-RU" w:bidi="ar-SA"/>
        </w:rPr>
        <w:t>– Борсук Сергей Александрович, Главатских Евгений Юрьевич, Воробьев Максим Васильевич, Семисынов Андрей Сергеевич, Шилоносова Людмила Афонасьевна, Карнаухов Константин Сергеевич, Хацкова Мария Владимировна, Снигирева Оксана Викторовна, Артемьева Татьяна Евгеньевна, Шадричев Сергей Владимирович, Груздев Игорь Александрович, Ибрагимов Максим Линарович.</w:t>
      </w:r>
    </w:p>
    <w:p>
      <w:pPr>
        <w:pStyle w:val="Normal"/>
        <w:spacing w:lineRule="auto" w:line="276"/>
        <w:ind w:hanging="0" w:left="0" w:right="0"/>
        <w:jc w:val="both"/>
        <w:rPr/>
      </w:pPr>
      <w:r>
        <w:rPr>
          <w:rFonts w:eastAsia="Times New Roman" w:cs="Times New Roman"/>
          <w:color w:themeColor="text1" w:val="000000"/>
          <w:sz w:val="28"/>
          <w:szCs w:val="28"/>
          <w:shd w:fill="auto" w:val="clear"/>
          <w:lang w:val="ru-RU" w:eastAsia="ru-RU" w:bidi="ar-SA"/>
        </w:rPr>
        <w:t>Начальная цена предмета аук</w:t>
      </w:r>
      <w:r>
        <w:rPr>
          <w:rFonts w:eastAsia="Times New Roman" w:cs="Times New Roman"/>
          <w:color w:themeColor="text1" w:val="000000"/>
          <w:kern w:val="0"/>
          <w:sz w:val="28"/>
          <w:szCs w:val="28"/>
          <w:shd w:fill="auto" w:val="clear"/>
          <w:lang w:val="ru-RU" w:eastAsia="ru-RU" w:bidi="ar-SA"/>
        </w:rPr>
        <w:t>циона – 594 700,00 руб.</w:t>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 xml:space="preserve">№ </w:t>
            </w:r>
            <w:r>
              <w:rPr>
                <w:rFonts w:eastAsia="Times New Roman" w:cs="Times New Roman"/>
                <w:color w:themeColor="text1" w:val="000000"/>
                <w:sz w:val="28"/>
                <w:szCs w:val="28"/>
                <w:shd w:fill="auto" w:val="clear"/>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highlight w:val="none"/>
                <w:shd w:fill="auto" w:val="clear"/>
              </w:rPr>
            </w:pPr>
            <w:r>
              <w:rPr>
                <w:rFonts w:eastAsia="Times New Roman" w:cs="Times New Roman"/>
                <w:color w:themeColor="text1" w:val="000000"/>
                <w:sz w:val="28"/>
                <w:szCs w:val="28"/>
                <w:shd w:fill="auto" w:val="clear"/>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9078</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Борсук Сергей Александрович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3239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Главатских Евгений Юрьевич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8908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Воробьев Максим Васильевич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7658</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Семисынов Андрей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7162</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Шилоносова Людмила Афонасьевна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2 140 920,00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5664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Карнаухов Константин Сергеевич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2 111 185,00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8074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Хацкова Мария Владимировна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2 051 715,00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1327</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Снигирева Оксана Викторовна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1 575 955,00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1475</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Артемьева Татьяна Евгеньевна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1 486 750,00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660</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Шадричев Сергей Владимирович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1 457 015,00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11</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4924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Груздев Игорь Александрович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832 580,00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12</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9473</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Ибрагимов Максим Линарович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802 845,00</w:t>
            </w:r>
          </w:p>
        </w:tc>
      </w:tr>
    </w:tbl>
    <w:p>
      <w:pPr>
        <w:pStyle w:val="Normal"/>
        <w:spacing w:lineRule="auto" w:line="276"/>
        <w:jc w:val="both"/>
        <w:rPr>
          <w:rFonts w:ascii="Times New Roman" w:hAnsi="Times New Roman" w:eastAsia="Times New Roman" w:cs="Times New Roman"/>
          <w:color w:themeColor="text1" w:val="000000"/>
          <w:sz w:val="28"/>
          <w:szCs w:val="28"/>
          <w:highlight w:val="none"/>
          <w:shd w:fill="auto" w:val="clear"/>
          <w:lang w:val="ru-RU" w:eastAsia="ru-RU" w:bidi="ar-SA"/>
        </w:rPr>
      </w:pPr>
      <w:r>
        <w:rPr>
          <w:rFonts w:eastAsia="Times New Roman" w:cs="Times New Roman"/>
          <w:color w:themeColor="text1" w:val="000000"/>
          <w:sz w:val="28"/>
          <w:szCs w:val="28"/>
          <w:shd w:fill="auto" w:val="clear"/>
          <w:lang w:val="ru-RU" w:eastAsia="ru-RU" w:bidi="ar-SA"/>
        </w:rPr>
      </w:r>
    </w:p>
    <w:p>
      <w:pPr>
        <w:pStyle w:val="Normal"/>
        <w:spacing w:lineRule="auto" w:line="276" w:before="0" w:after="0"/>
        <w:jc w:val="both"/>
        <w:rPr>
          <w:highlight w:val="none"/>
          <w:shd w:fill="auto" w:val="clear"/>
        </w:rPr>
      </w:pPr>
      <w:r>
        <w:rPr>
          <w:rFonts w:eastAsia="Times New Roman" w:cs="Times New Roman"/>
          <w:color w:themeColor="text1" w:val="000000"/>
          <w:sz w:val="28"/>
          <w:szCs w:val="28"/>
          <w:shd w:fill="auto" w:val="clear"/>
          <w:lang w:val="ru-RU" w:eastAsia="ru-RU" w:bidi="ar-SA"/>
        </w:rPr>
        <w:t>По</w:t>
      </w:r>
      <w:r>
        <w:rPr>
          <w:rFonts w:eastAsia="Times New Roman" w:cs="Times New Roman"/>
          <w:color w:themeColor="text1" w:val="000000"/>
          <w:kern w:val="0"/>
          <w:sz w:val="28"/>
          <w:szCs w:val="28"/>
          <w:shd w:fill="auto" w:val="clear"/>
          <w:lang w:val="ru-RU" w:eastAsia="ru-RU" w:bidi="ar-SA"/>
        </w:rPr>
        <w:t>следнее предложение о цене предмета аукциона – 2 140 920,00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Предпоследнее предложение о цене предмета аукциона – 2 111 185,00 руб.</w:t>
      </w:r>
    </w:p>
    <w:p>
      <w:pPr>
        <w:pStyle w:val="Norma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Победитель аукциона – Шилоносова Людмила Афонасьевна.</w:t>
      </w:r>
    </w:p>
    <w:p>
      <w:pPr>
        <w:pStyle w:val="Normal"/>
        <w:widowControl/>
        <w:spacing w:lineRule="auto" w:line="276" w:before="0" w:after="0"/>
        <w:jc w:val="both"/>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Участник аукциона, который сделал предпоследнее предложение о цене предмета аукциона – Карнаухов Константин Сергеевич.</w:t>
      </w:r>
    </w:p>
    <w:p>
      <w:pPr>
        <w:pStyle w:val="Normal"/>
        <w:spacing w:lineRule="auto" w:line="276" w:before="0" w:after="0"/>
        <w:jc w:val="both"/>
        <w:rPr>
          <w:highlight w:val="none"/>
          <w:shd w:fill="auto" w:val="clear"/>
        </w:rPr>
      </w:pPr>
      <w:r>
        <w:rPr>
          <w:rFonts w:eastAsia="Times New Roman" w:cs="Times New Roman"/>
          <w:color w:themeColor="text1" w:val="000000"/>
          <w:kern w:val="0"/>
          <w:sz w:val="28"/>
          <w:szCs w:val="28"/>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color w:themeColor="text1" w:val="000000"/>
          <w:kern w:val="0"/>
          <w:sz w:val="28"/>
          <w:szCs w:val="28"/>
          <w:shd w:fill="auto" w:val="clear"/>
          <w:lang w:val="ru-RU" w:eastAsia="ru-RU" w:bidi="ar-SA"/>
        </w:rPr>
        <w:t>2 140 920,00</w:t>
      </w: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b/>
          <w:bCs/>
          <w:color w:themeColor="text1" w:val="000000"/>
          <w:sz w:val="28"/>
          <w:szCs w:val="28"/>
          <w:shd w:fill="auto" w:val="clear"/>
          <w:lang w:val="ru-RU" w:eastAsia="ru-RU" w:bidi="ar-SA"/>
        </w:rPr>
        <w:t>руб.</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    </w:t>
      </w:r>
      <w:r>
        <w:rPr>
          <w:rFonts w:eastAsia="Droid Sans Fallback" w:cs="Lohit Devanagari"/>
          <w:color w:val="000000"/>
          <w:sz w:val="28"/>
          <w:szCs w:val="28"/>
          <w:shd w:fill="auto" w:val="clear"/>
          <w:lang w:val="ru-RU" w:eastAsia="en-US" w:bidi="ar-SA"/>
        </w:rPr>
        <w:t xml:space="preserve">Ю.И. Четина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LibreOffice/7.6.7.2$Linux_X86_64 LibreOffice_project/60$Build-2</Application>
  <AppVersion>15.0000</AppVersion>
  <Pages>3</Pages>
  <Words>513</Words>
  <Characters>3750</Characters>
  <CharactersWithSpaces>4504</CharactersWithSpaces>
  <Paragraphs>86</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2026-01-22T12:47:38Z</dcterms:modified>
  <cp:revision>183</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