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24.02.2026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25.02.2026 (процедура № SBR012-2602030101),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59:01:1717124:339 площадью 7840 кв. м, расположенного по адресу: Российская Федерация, Пермский край, городской округ Пермский, город Пермь, улица Воронежская, з/у 60г,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59:01:1717124:343 площадью 5169 кв. м, расположенного по адресу: Российская Федерация, Пермский край, городской округ Пермский, город Пермь, улица Воронежская, з/у 60д,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59:01:1717124:337 площадью 7686 кв. м, расположенного по адресу: Российская Федерация, Пермский край, городской округ Пермский, город Пермь, улица Воронежская, з/у 60е,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>Лот № 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59:01:1717124:338 площадью 5481 кв. м, расположенного по адресу: Российская Федерация, Пермский край, городской округ Пермский, город Пермь, улица Воронежская, з/у 60и,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59:01:1717124:335 площадью 4924 кв. м, расположенного по адресу: Российская Федерация, Пермский край, городской округ Пермский, город Пермь, улица Воронежская, з/у 60к,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59:01:1717124:331 площадью 5107 кв. м, расположенного по адресу: Российская Федерация, Пермский край, городской округ Пермский, город Пермь, улица Воронежская, з/у 60м,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59:01:1717124:336 площадью 4372 кв. м, расположенного по адресу: Российская Федерация, Пермский край, городской округ Пермский, город Пермь, улица Воронежская, з/у 60л, для строительства объектов производственного и складского назначения.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3</Pages>
  <Words>706</Words>
  <Characters>5230</Characters>
  <CharactersWithSpaces>6212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2026-02-24T11:40:53Z</dcterms:modified>
  <cp:revision>1107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