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Style4"/>
        <w:numPr>
          <w:ilvl w:val="0"/>
          <w:numId w:val="0"/>
        </w:numPr>
        <w:spacing w:lineRule="exact" w:line="280"/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ПРОТОКОЛ   </w:t>
      </w:r>
    </w:p>
    <w:p>
      <w:pPr>
        <w:pStyle w:val="UserStyle4"/>
        <w:numPr>
          <w:ilvl w:val="0"/>
          <w:numId w:val="0"/>
        </w:numPr>
        <w:spacing w:lineRule="exact" w:line="280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  <w:t>о признании аукциона на право заключения договор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аренды муниципального имущества несостоявшимся</w:t>
      </w:r>
    </w:p>
    <w:p>
      <w:pPr>
        <w:pStyle w:val="Normal"/>
        <w:spacing w:before="0" w:after="12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false"/>
          <w:bCs w:val="false"/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(07:00 МСК).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</w:t>
      </w:r>
      <w:r>
        <w:rPr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hanging="3061" w:left="3061" w:right="0"/>
        <w:jc w:val="both"/>
        <w:rPr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 – начальник отдела по распоряжению муниципальным имуществом. </w:t>
      </w:r>
    </w:p>
    <w:p>
      <w:pPr>
        <w:pStyle w:val="BodyText"/>
        <w:widowControl/>
        <w:spacing w:lineRule="auto" w:line="276" w:before="0" w:after="0"/>
        <w:ind w:hanging="4649" w:left="4649" w:right="0"/>
        <w:jc w:val="both"/>
        <w:rPr/>
      </w:pPr>
      <w:r>
        <w:rPr>
          <w:sz w:val="28"/>
          <w:szCs w:val="28"/>
          <w:lang w:val="ru-RU" w:eastAsia="ru-RU" w:bidi="ar-SA"/>
        </w:rPr>
        <w:t>Заместитель председателя комиссии: Кичко О.В., заместитель начальника отдела по распоряжению 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Секретарь комиссии: Павлова О.И.,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608" w:right="0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>Доценко Е.В.</w:t>
      </w:r>
      <w:r>
        <w:rPr>
          <w:sz w:val="28"/>
          <w:szCs w:val="28"/>
        </w:rPr>
        <w:t>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154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widowControl/>
        <w:spacing w:lineRule="auto" w:line="276" w:before="0" w:after="0"/>
        <w:ind w:hanging="737" w:left="2891" w:right="0"/>
        <w:jc w:val="both"/>
        <w:rPr/>
      </w:pPr>
      <w:r>
        <w:rPr>
          <w:sz w:val="28"/>
          <w:szCs w:val="28"/>
        </w:rPr>
        <w:t>Селезнева Е.Ю., консультант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hanging="753" w:left="288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Комиссия установила, что по окончании срока подачи заявок на участие </w:t>
      </w:r>
      <w:r>
        <w:rPr>
          <w:sz w:val="28"/>
        </w:rPr>
        <w:br w:type="textWrapping" w:clear="all"/>
      </w:r>
      <w:r>
        <w:rPr>
          <w:sz w:val="28"/>
        </w:rPr>
        <w:t>в аукционе на право заключения договор</w:t>
      </w:r>
      <w:r>
        <w:rPr>
          <w:sz w:val="28"/>
        </w:rPr>
        <w:t>а</w:t>
      </w:r>
      <w:r>
        <w:rPr>
          <w:sz w:val="28"/>
        </w:rPr>
        <w:t xml:space="preserve"> аренды муниципального имущества, назначенном на </w:t>
      </w:r>
      <w:r>
        <w:rPr>
          <w:sz w:val="28"/>
        </w:rPr>
        <w:t>17</w:t>
      </w:r>
      <w:r>
        <w:rPr>
          <w:sz w:val="28"/>
        </w:rPr>
        <w:t>.</w:t>
      </w:r>
      <w:r>
        <w:rPr>
          <w:sz w:val="28"/>
        </w:rPr>
        <w:t>03</w:t>
      </w:r>
      <w:r>
        <w:rPr>
          <w:sz w:val="28"/>
        </w:rPr>
        <w:t>.202</w:t>
      </w:r>
      <w:r>
        <w:rPr>
          <w:sz w:val="28"/>
        </w:rPr>
        <w:t>6</w:t>
      </w:r>
      <w:r>
        <w:rPr>
          <w:sz w:val="28"/>
        </w:rPr>
        <w:t xml:space="preserve"> (процедур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>а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№ SBR012-2602200101):</w:t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4"/>
          <w:lang w:val="ru-RU" w:eastAsia="ru-RU" w:bidi="ar-SA"/>
        </w:rPr>
        <w:t>Лот № 1.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 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основной площадью 73,4 кв. м (кадастровый номер 59:01:1717162:32) в подвале жилого дома по адресу: г. Пермь, Кировский район, ул. Чистопольская, д. 23а.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 xml:space="preserve">№ 1 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2.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основной площадью 198,4 кв. м (кадастровый номер 59:01:4410846:396) в подвале жилого дома по адресу: г. Пермь, Индустриальный район, ул. Качалова, д. 32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2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  <w:tab/>
        <w:tab/>
        <w:t>С.В. Меденникова</w:t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 </w:t>
        <w:tab/>
        <w:tab/>
        <w:t>О.В. Кичко</w:t>
      </w:r>
    </w:p>
    <w:p>
      <w:pPr>
        <w:pStyle w:val="3"/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>О.И. Павлова</w:t>
      </w:r>
    </w:p>
    <w:p>
      <w:pPr>
        <w:pStyle w:val="3"/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 xml:space="preserve">                           </w:t>
      </w:r>
      <w:r>
        <w:rPr>
          <w:sz w:val="28"/>
          <w:szCs w:val="28"/>
        </w:rPr>
        <w:t>Е.В. Доценко</w:t>
      </w:r>
    </w:p>
    <w:p>
      <w:pPr>
        <w:pStyle w:val="3"/>
        <w:spacing w:lineRule="auto" w:line="276"/>
        <w:ind w:firstLine="7088"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  <w:t>Е.Ю. Селезнева</w:t>
      </w:r>
    </w:p>
    <w:p>
      <w:pPr>
        <w:pStyle w:val="3"/>
        <w:spacing w:lineRule="auto" w:line="276"/>
        <w:ind w:firstLine="1902" w:left="561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1902" w:left="5610" w:right="0"/>
        <w:rPr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862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Знак"/>
    <w:qFormat/>
    <w:rPr>
      <w:rFonts w:ascii="Courier New" w:hAnsi="Courier New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ind w:firstLine="567"/>
      <w:jc w:val="center"/>
    </w:pPr>
    <w:rPr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2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">
    <w:name w:val="Основной текст с отступом 3"/>
    <w:basedOn w:val="Normal"/>
    <w:qFormat/>
    <w:pPr>
      <w:ind w:left="561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5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UserStyle4">
    <w:name w:val="UserStyle_4"/>
    <w:basedOn w:val="Normal"/>
    <w:qFormat/>
    <w:pPr>
      <w:ind w:firstLine="567"/>
      <w:jc w:val="center"/>
    </w:pPr>
    <w:rPr>
      <w:b/>
      <w:szCs w:val="20"/>
    </w:rPr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4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LibreOffice/7.6.7.2$Linux_X86_64 LibreOffice_project/60$Build-2</Application>
  <AppVersion>15.0000</AppVersion>
  <Pages>2</Pages>
  <Words>332</Words>
  <Characters>2264</Characters>
  <CharactersWithSpaces>2668</CharactersWithSpaces>
  <Paragraphs>36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2024-07-29T05:49:00Z</dcterms:created>
  <dc:creator>bna</dc:creator>
  <dc:description/>
  <dc:language>ru-RU</dc:language>
  <cp:lastModifiedBy/>
  <dcterms:modified xsi:type="dcterms:W3CDTF">2026-03-16T10:29:58Z</dcterms:modified>
  <cp:revision>23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