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 2                                                      26.03.2026,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5216" w:left="521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en-US" w:bidi="ar-SA"/>
        </w:rPr>
        <w:t>Суфиярова А.В.,</w:t>
      </w:r>
      <w:r>
        <w:rPr>
          <w:sz w:val="28"/>
          <w:szCs w:val="28"/>
          <w:lang w:eastAsia="en-US"/>
        </w:rPr>
        <w:t xml:space="preserve"> и.о. заместителя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false"/>
          <w:bCs w:val="false"/>
          <w:sz w:val="28"/>
          <w:szCs w:val="28"/>
        </w:rPr>
        <w:t>26</w:t>
      </w:r>
      <w:r>
        <w:rPr>
          <w:sz w:val="28"/>
          <w:szCs w:val="28"/>
        </w:rPr>
        <w:t>.03.2026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Право 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59:01:4219041:121 площадью 1300 кв. м, расположенного по адресу: Российская Федерация, Пермский край, городской округ Пермский, город Пермь, улица Сельскохозяйственная, з/у 29а,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Время окончания электронного аукциона: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11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: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37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по местному времени (0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9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: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37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 участие в аукционе поступило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9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заявок.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Отказано в допуске к участию в аукционе – 1 заявителю.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Сведения об участниках аукциона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Старкова Татьяна Медхатовна, Самусева Екатерина Александровна, Карнаухов Константин Сергеевич, Ончуров Дмитрий Евгеньевич, Путин Вадим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Сергеевич, Чудинова Екатерина Вячеславовна, Юдинцев Сергей Станиславович, Хардин Дмитрий Валерьевич.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Начальная цена предмета аукциона – 477 400,00 руб.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3"/>
        <w:gridCol w:w="1707"/>
        <w:gridCol w:w="4955"/>
        <w:gridCol w:w="2834"/>
      </w:tblGrid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3921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Старкова Татьяна Медхатовна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4860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Самусева Екатерина Александровна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2 649 570,00</w:t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3012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Карнаухов Константин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2 625 700,00</w:t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928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Ончуров Дмитрий Евгеньевич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1 766 380,00</w:t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4419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Путин Вадим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1 623 160,00</w:t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5014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Чудинова Екатерина Вячеславовна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1 432 200,00</w:t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1175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Юдинцев Сергей Станиславович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572 880,00</w:t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6770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Хардин Дмитрий Валерьевич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525 140,00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2 649 570,00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2 625 700,00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Самусева Екатерина Александровна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Карнаухов Константин Сергеевич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Cs w:val="false"/>
          <w:i w:val="false"/>
          <w:i w:val="false"/>
          <w:caps w:val="false"/>
          <w:smallCaps w:val="false"/>
          <w:color w:themeColor="text1" w:val="00000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2 649 570,00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Лот № 2.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Право 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 заключения договора аренды земельного участка, государственная собственность на который не разграничена, с кадастровым номером 59:01:3510002:144 площадью 1600 кв. м, расположенного по адресу: Российская Федерация, Пермский край, городской округ Пермский, город Пермь, улица Луговая, з/у 72,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Время окончания электронного аукциона: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10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: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02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по местному времени (08: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02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 участие в аукционе поступило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8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заявок.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Сведения об участниках аукциона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Овчинникова Ирина Владимировна, Дудкин Денис Викторович, Муслядинова Юлия Мустафаевна, Путин Вадим Сергеевич, Артемьева Татьяна Евгеньевна, Старкова Татьяна Медхатовна, Бикбаев Илья Феятович, Соснин Алексей Сергеевич.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Начальная цена предмета аукциона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– 420 900,00 руб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3"/>
        <w:gridCol w:w="1707"/>
        <w:gridCol w:w="4955"/>
        <w:gridCol w:w="2834"/>
      </w:tblGrid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5419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Овчинникова Ирина Владимировна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5567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Дудкин Денис Викторович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1 767 780,00</w:t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3737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Муслядинова Юлия Мустафаевна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1 746 735,00</w:t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1329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Путин Вадим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1 641 510,00</w:t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8731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Артемьева Татьяна Евгеньевна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1 346 880,00</w:t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3122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Старкова Татьяна Медхатовна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1 010 160,00</w:t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4964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Бикбаев Илья Феятович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925 980,00</w:t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3329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Соснин Алексей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462 990,00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1 767 780,00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1 746 735,00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Дудкин Денис Викторович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Муслядинова Юлия Мустафаевна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Cs w:val="false"/>
          <w:i w:val="false"/>
          <w:i w:val="false"/>
          <w:caps w:val="false"/>
          <w:smallCaps w:val="false"/>
          <w:color w:themeColor="text1" w:val="00000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1 767 780,00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3.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 xml:space="preserve">Право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59:01:0000000:90717 площадью 1400 кв. м, расположенного по адресу: Российская Федерация, Пермский край, городской округ Пермский, город Пермь, жилой район Ново-Бродовский, улица Смородиновая, з/у 75а,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А.В.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en-US" w:bidi="ar-SA"/>
        </w:rPr>
        <w:t>Суфиярова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  <w:style w:type="table" w:customStyle="1" w:styleId="9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LibreOffice/7.6.7.2$Linux_X86_64 LibreOffice_project/60$Build-2</Application>
  <AppVersion>15.0000</AppVersion>
  <Pages>4</Pages>
  <Words>799</Words>
  <Characters>5674</Characters>
  <CharactersWithSpaces>6639</CharactersWithSpaces>
  <Paragraphs>124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2026-03-26T11:50:39Z</dcterms:modified>
  <cp:revision>196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