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15.04.2026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438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16.04.2026 (процедура № SBR012-2603130026), реши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мельный участок, государственная собственность на который не разграничена, с кадастровым номером 59:01:4211111:125 площадью 1101 кв. м, расположенный по адресу: Российская Федерация, Пермский край, городской округ Пермский, город Пермь, улица Обросова, з/у 67,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мельный участок, государственная собственность на который не разграничена, с кадастровым номером 59:01:4613893:245 площадью 583 кв. м, расположенный по адресу: Российская Федерация, Пермский край, городской округ Пермский, город Пермь, улица 1-я Красавинская, з/у 15, с целью строительства индивидуального жилого дома.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3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емельный участок с кадастровым номером, государственная собственность на который не разграничена, 59:01:5010057:200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Абрикосовая, з/у 13,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3"/>
        <w:gridCol w:w="2337"/>
        <w:gridCol w:w="2419"/>
        <w:gridCol w:w="1997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7936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13.04.2026 07:52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1 000 000,00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9348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13.04.2026 21:42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1 000 000,00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4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ельный участок с кадастровым номером, государственная собственность на который не разграничена, 59:01:1817212:258 площадью 884 кв. м, расположенный по адресу: Российская Федерация, Пермский край, городской округ Пермский, город Пермь, улица 2-я Гаревая, з/у 24б,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5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мельный участок с кадастровым номером, государственная собственность на который не разграничена, 59:01:3812844:151 площадью 1147 кв. м, расположенный по адресу: Российская Федерация, Пермский край, городской округ Пермский, город Пермь, улица Токарная, з/у 27,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На основании пункта 12 статьи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/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LibreOffice/7.6.7.2$Linux_X86_64 LibreOffice_project/60$Build-2</Application>
  <AppVersion>15.0000</AppVersion>
  <Pages>3</Pages>
  <Words>590</Words>
  <Characters>4370</Characters>
  <CharactersWithSpaces>5413</CharactersWithSpaces>
  <Paragraphs>52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2026-04-15T10:54:39Z</dcterms:modified>
  <cp:revision>1101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