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15.04.2026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электронном аукционе, назначенном                           на 16.04.2026 (процедура № SBR012-2603130019), реши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участок, государственная собственность на который не разграничена, с кадастровым номером 59:01:5010015:5, площадью 1044 кв. м, расположенного по адресу: Российская Федерация, Пермский край, городской округ Пермский, город Пермь, жилой район Ново-Бродовский, улица Зимняя,           з/у 39,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7"/>
        <w:gridCol w:w="2259"/>
        <w:gridCol w:w="2259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Карнаухов Константин Сергеевич,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2032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14.04.2026 12:16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1 044 000,00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Признать аукцион несостоявшимся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№ 1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по лоту № 1 (улица Зимняя, з/у 39) – 2 088 000,00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/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LibreOffice/7.6.7.2$Linux_X86_64 LibreOffice_project/60$Build-2</Application>
  <AppVersion>15.0000</AppVersion>
  <Pages>3</Pages>
  <Words>471</Words>
  <Characters>3343</Characters>
  <CharactersWithSpaces>4276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2026-04-15T10:59:13Z</dcterms:modified>
  <cp:revision>1103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