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87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  <w:tab/>
        <w:tab/>
        <w:tab/>
        <w:tab/>
        <w:tab/>
        <w:tab/>
        <w:tab/>
        <w:tab/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id  81930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jc w:val="center"/>
        <w:spacing w:line="283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8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_68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59:01:3512025:146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Сиреневая, з/у 52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Земельный участок расположен в зоне с особым условием использования территорий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_687"/>
        <w:ind w:left="0" w:right="0" w:firstLine="708"/>
        <w:jc w:val="both"/>
        <w:rPr>
          <w:rFonts w:ascii="Times New Roman" w:hAnsi="Times New Roman" w:cs="Times New Roman"/>
          <w:color w:val="ff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границах земельного участка расположены следующие объекты некапитального типа: металлическая рамка, деревянные рамы с остекленением и без стекла. С северной стороны в границах земельного участка расположено ограждение – деревянный забор смежного землепользователя.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не имеет претензий 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Арендодателю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наличием на земельном участке объектов некапитального типа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_687"/>
        <w:ind w:left="0" w:right="0" w:firstLine="567"/>
        <w:jc w:val="both"/>
        <w:rPr>
          <w:rFonts w:ascii="Times New Roman" w:hAnsi="Times New Roman" w:cs="Times New Roman"/>
          <w:color w:val="ff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вправе осуществить демонтаж указанных объектов некапитального 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па за счет собственных средств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11.02.2026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РФ-59-2-03-0-00-2026-0240-0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преде</w:t>
      </w:r>
      <w:r>
        <w:rPr>
          <w:rFonts w:ascii="Times New Roman" w:hAnsi="Times New Roman"/>
          <w:sz w:val="24"/>
          <w:szCs w:val="24"/>
        </w:rPr>
        <w:t xml:space="preserve">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22.12.2017 № 1178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  <w:r/>
    </w:p>
    <w:p>
      <w:pPr>
        <w:pStyle w:val="1_68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  <w:r/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30%.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_68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</w:t>
      </w:r>
      <w:r/>
      <w:r>
        <w:rPr>
          <w:rFonts w:ascii="Times New Roman" w:hAnsi="Times New Roman" w:cs="Times New Roman"/>
          <w:sz w:val="24"/>
          <w:szCs w:val="24"/>
        </w:rPr>
        <w:t xml:space="preserve">государственной нивелирной сети, гравиметрические пункты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гравиметрической сети, геодезические пункты геодезических сетей специального назначения, лесохозяйственные, лесоустроительные или иные специальные информационные знаки, установленные на земельных участках</w:t>
      </w:r>
      <w:r/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178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_68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_68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1_68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1_6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  <w:r/>
    </w:p>
    <w:p>
      <w:pPr>
        <w:pStyle w:val="1_68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  <w:r/>
    </w:p>
    <w:p>
      <w:pPr>
        <w:pStyle w:val="1_68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  <w:r/>
    </w:p>
    <w:p>
      <w:pPr>
        <w:pStyle w:val="1_68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  <w:r/>
    </w:p>
    <w:p>
      <w:pPr>
        <w:pStyle w:val="1_68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  <w:r/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8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1_68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8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1_68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4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1_68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rPr>
                <w:sz w:val="24"/>
                <w:szCs w:val="24"/>
                <w:lang w:eastAsia="ru-RU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/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bCs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178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176"/>
      </w:pPr>
      <w:r/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3"/>
      <w:jc w:val="center"/>
    </w:pPr>
    <w:fldSimple w:instr="PAGE \* MERGEFORMAT">
      <w:r>
        <w:t xml:space="preserve">1</w:t>
      </w:r>
    </w:fldSimple>
    <w:r/>
    <w:r/>
  </w:p>
  <w:p>
    <w:pPr>
      <w:pStyle w:val="4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8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92" w:customStyle="1">
    <w:name w:val="Strong"/>
    <w:basedOn w:val="929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1</cp:revision>
  <dcterms:modified xsi:type="dcterms:W3CDTF">2026-04-02T07:53:23Z</dcterms:modified>
</cp:coreProperties>
</file>