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74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749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 xml:space="preserve">ельных участков</w:t>
      </w:r>
      <w:r>
        <w:rPr>
          <w:b/>
          <w:sz w:val="28"/>
          <w:szCs w:val="28"/>
        </w:rPr>
      </w:r>
    </w:p>
    <w:p>
      <w:pPr>
        <w:pStyle w:val="749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.04.2026 </w:t>
      </w:r>
      <w:r>
        <w:rPr>
          <w:sz w:val="28"/>
          <w:szCs w:val="28"/>
        </w:rPr>
      </w:r>
    </w:p>
    <w:p>
      <w:pPr>
        <w:pStyle w:val="74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  <w:highlight w:val="white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  <w:highlight w:val="white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>
        <w:rPr>
          <w:highlight w:val="white"/>
        </w:rPr>
      </w:r>
    </w:p>
    <w:p>
      <w:pPr>
        <w:pStyle w:val="749"/>
        <w:jc w:val="both"/>
        <w:spacing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  <w:r>
        <w:rPr>
          <w:highlight w:val="white"/>
        </w:rPr>
      </w:r>
    </w:p>
    <w:p>
      <w:pPr>
        <w:pStyle w:val="749"/>
        <w:ind w:left="3000" w:right="0" w:hanging="300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highlight w:val="white"/>
        </w:rPr>
      </w:r>
    </w:p>
    <w:p>
      <w:pPr>
        <w:pStyle w:val="749"/>
        <w:ind w:left="4680" w:right="0" w:hanging="468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  <w:r>
        <w:rPr>
          <w:highlight w:val="white"/>
        </w:rPr>
      </w:r>
    </w:p>
    <w:p>
      <w:pPr>
        <w:pStyle w:val="749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  <w:r/>
    </w:p>
    <w:p>
      <w:pPr>
        <w:pStyle w:val="749"/>
        <w:ind w:left="2268" w:right="0" w:hanging="2268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Союстова А.А.,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заместител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ь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49"/>
        <w:ind w:left="2268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49"/>
        <w:ind w:left="216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</w:p>
    <w:p>
      <w:pPr>
        <w:pStyle w:val="749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23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.04.2026 (процедура №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SBR012-2603240114), решила:</w:t>
      </w:r>
      <w:r/>
    </w:p>
    <w:p>
      <w:pPr>
        <w:pStyle w:val="749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9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</w:rPr>
      </w:pPr>
      <w:r>
        <w:rPr>
          <w:b/>
          <w:sz w:val="28"/>
          <w:szCs w:val="28"/>
        </w:rPr>
        <w:t xml:space="preserve">Лот № 1</w:t>
      </w:r>
      <w:r>
        <w:rPr>
          <w:b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п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</w:rPr>
        <w:t xml:space="preserve">рав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о заключения договора аренды земельного участка, государственная собственность на который не разграничена, с кадастровым номером 59:01:5010047:141, площадью 1076 кв. м, расположенного по адресу: Россий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lang w:val="ru-RU" w:eastAsia="ru-RU" w:bidi="ar-SA"/>
        </w:rPr>
        <w:t xml:space="preserve">ская Федерация, Пермский край, городской округ Пермский, город Пермь, жилой район Ново-Бродовский, улица Зимняя, з/у 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</w:rPr>
      </w:r>
    </w:p>
    <w:p>
      <w:pPr>
        <w:pStyle w:val="749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pPr>
      <w:r>
        <w:rPr>
          <w:rFonts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32"/>
        <w:gridCol w:w="2338"/>
        <w:gridCol w:w="2418"/>
        <w:gridCol w:w="19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1454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17.04.2026 15:13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5123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19.04.2026 21:01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3637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20.04.2026 09:54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3728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20.04.2026 13:17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2185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20.04.2026 14:26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1701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20.04.2026 14:27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5389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20.04.2026 14:48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5608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21.04.2026 12:10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292 000,00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49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Лот № 2 – </w:t>
      </w:r>
      <w:r>
        <w:rPr>
          <w:b w:val="0"/>
          <w:bCs w:val="0"/>
          <w:sz w:val="28"/>
          <w:szCs w:val="28"/>
        </w:rPr>
        <w:t xml:space="preserve">п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рав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ru-RU" w:eastAsia="ru-RU" w:bidi="ar-SA"/>
        </w:rPr>
        <w:t xml:space="preserve">о заключения договора аренды земельного участка, государственная собственность на который не разграничена, с кадастровым номером 59:01:1810026:261 площадью 478 кв. м, расположе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ru-RU" w:eastAsia="ru-RU" w:bidi="ar-SA"/>
        </w:rPr>
        <w:t xml:space="preserve">нного по адресу: Российская Федерация, Пермский край, городской округ Пермский, город Пермь, улица Бузулукская, з/у 28,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</w:r>
      <w:r/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yellow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32"/>
        <w:gridCol w:w="2338"/>
        <w:gridCol w:w="2418"/>
        <w:gridCol w:w="19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2981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16.04.2026 09:42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120 450,00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3043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20.04.2026 09:58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120 450,00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32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7169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21.04.2026 12:54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120 450,00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textDirection w:val="lrTb"/>
            <w:noWrap w:val="false"/>
          </w:tcPr>
          <w:p>
            <w:pPr>
              <w:pStyle w:val="74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none"/>
        </w:rPr>
      </w:r>
    </w:p>
    <w:p>
      <w:pPr>
        <w:pStyle w:val="74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</w:p>
    <w:p>
      <w:pPr>
        <w:pStyle w:val="749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9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9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9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9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786" w:right="567" w:bottom="766" w:left="1418" w:header="0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5"/>
                            <w:rPr>
                              <w:rStyle w:val="786"/>
                            </w:rPr>
                          </w:pPr>
                          <w:r/>
                          <w:r>
                            <w:rPr>
                              <w:rStyle w:val="786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5"/>
                      <w:rPr>
                        <w:rStyle w:val="786"/>
                      </w:rPr>
                    </w:pPr>
                    <w:r/>
                    <w:r>
                      <w:rPr>
                        <w:rStyle w:val="78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5"/>
                            <w:ind w:right="360"/>
                            <w:rPr>
                              <w:rStyle w:val="786"/>
                            </w:rPr>
                          </w:pPr>
                          <w:r>
                            <w:rPr>
                              <w:rStyle w:val="78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6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5"/>
                      <w:ind w:right="360"/>
                      <w:rPr>
                        <w:rStyle w:val="786"/>
                      </w:rPr>
                    </w:pPr>
                    <w:r>
                      <w:rPr>
                        <w:rStyle w:val="786"/>
                        <w:color w:val="000000"/>
                      </w:rPr>
                      <w:fldChar w:fldCharType="begin"/>
                    </w:r>
                    <w:r>
                      <w:rPr>
                        <w:rStyle w:val="78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6"/>
                        <w:color w:val="000000"/>
                      </w:rPr>
                      <w:fldChar w:fldCharType="separate"/>
                    </w:r>
                    <w:r>
                      <w:rPr>
                        <w:rStyle w:val="786"/>
                        <w:color w:val="000000"/>
                      </w:rPr>
                      <w:t xml:space="preserve">0</w:t>
                    </w:r>
                    <w:r>
                      <w:rPr>
                        <w:rStyle w:val="786"/>
                        <w:color w:val="000000"/>
                      </w:rPr>
                      <w:fldChar w:fldCharType="end"/>
                    </w:r>
                    <w:r>
                      <w:rPr>
                        <w:rStyle w:val="78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5"/>
                            <w:rPr>
                              <w:rStyle w:val="786"/>
                            </w:rPr>
                          </w:pPr>
                          <w:r>
                            <w:rPr>
                              <w:rStyle w:val="78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6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5"/>
                      <w:rPr>
                        <w:rStyle w:val="786"/>
                      </w:rPr>
                    </w:pPr>
                    <w:r>
                      <w:rPr>
                        <w:rStyle w:val="786"/>
                        <w:color w:val="000000"/>
                      </w:rPr>
                      <w:fldChar w:fldCharType="begin"/>
                    </w:r>
                    <w:r>
                      <w:rPr>
                        <w:rStyle w:val="78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6"/>
                        <w:color w:val="000000"/>
                      </w:rPr>
                      <w:fldChar w:fldCharType="separate"/>
                    </w:r>
                    <w:r>
                      <w:rPr>
                        <w:rStyle w:val="786"/>
                        <w:color w:val="000000"/>
                      </w:rPr>
                      <w:t xml:space="preserve">0</w:t>
                    </w:r>
                    <w:r>
                      <w:rPr>
                        <w:rStyle w:val="786"/>
                        <w:color w:val="000000"/>
                      </w:rPr>
                      <w:fldChar w:fldCharType="end"/>
                    </w:r>
                    <w:r>
                      <w:rPr>
                        <w:rStyle w:val="78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5"/>
                            <w:rPr>
                              <w:rStyle w:val="786"/>
                            </w:rPr>
                          </w:pPr>
                          <w:r/>
                          <w:r>
                            <w:rPr>
                              <w:rStyle w:val="786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5"/>
                      <w:rPr>
                        <w:rStyle w:val="786"/>
                      </w:rPr>
                    </w:pPr>
                    <w:r/>
                    <w:r>
                      <w:rPr>
                        <w:rStyle w:val="78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50">
    <w:name w:val="Heading 1"/>
    <w:basedOn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60">
    <w:name w:val="Heading 2 Char"/>
    <w:uiPriority w:val="9"/>
    <w:qFormat/>
    <w:rPr>
      <w:rFonts w:ascii="Arial" w:hAnsi="Arial" w:eastAsia="Arial" w:cs="Arial"/>
      <w:sz w:val="34"/>
    </w:rPr>
  </w:style>
  <w:style w:type="character" w:styleId="76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uiPriority w:val="10"/>
    <w:qFormat/>
    <w:rPr>
      <w:sz w:val="48"/>
      <w:szCs w:val="48"/>
    </w:rPr>
  </w:style>
  <w:style w:type="character" w:styleId="769">
    <w:name w:val="Subtitle Char"/>
    <w:uiPriority w:val="11"/>
    <w:qFormat/>
    <w:rPr>
      <w:sz w:val="24"/>
      <w:szCs w:val="24"/>
    </w:rPr>
  </w:style>
  <w:style w:type="character" w:styleId="770">
    <w:name w:val="Quote Char"/>
    <w:uiPriority w:val="29"/>
    <w:qFormat/>
    <w:rPr>
      <w:i/>
    </w:rPr>
  </w:style>
  <w:style w:type="character" w:styleId="771">
    <w:name w:val="Intense Quote Char"/>
    <w:uiPriority w:val="30"/>
    <w:qFormat/>
    <w:rPr>
      <w:i/>
    </w:rPr>
  </w:style>
  <w:style w:type="character" w:styleId="772">
    <w:name w:val="Header Char"/>
    <w:uiPriority w:val="99"/>
    <w:qFormat/>
  </w:style>
  <w:style w:type="character" w:styleId="773">
    <w:name w:val="Footer Char"/>
    <w:uiPriority w:val="99"/>
    <w:qFormat/>
  </w:style>
  <w:style w:type="character" w:styleId="774">
    <w:name w:val="Caption Char"/>
    <w:uiPriority w:val="99"/>
    <w:qFormat/>
  </w:style>
  <w:style w:type="character" w:styleId="775">
    <w:name w:val="Hyperlink"/>
    <w:uiPriority w:val="99"/>
    <w:unhideWhenUsed/>
    <w:rPr>
      <w:color w:val="0000ff" w:themeColor="hyperlink"/>
      <w:u w:val="single"/>
    </w:rPr>
  </w:style>
  <w:style w:type="character" w:styleId="776">
    <w:name w:val="Footnote Text Char"/>
    <w:uiPriority w:val="99"/>
    <w:qFormat/>
    <w:rPr>
      <w:sz w:val="18"/>
    </w:rPr>
  </w:style>
  <w:style w:type="character" w:styleId="777">
    <w:name w:val="Символ сноски"/>
    <w:uiPriority w:val="99"/>
    <w:unhideWhenUsed/>
    <w:qFormat/>
    <w:rPr>
      <w:vertAlign w:val="superscript"/>
    </w:rPr>
  </w:style>
  <w:style w:type="character" w:styleId="778">
    <w:name w:val="footnote reference"/>
    <w:rPr>
      <w:vertAlign w:val="superscript"/>
    </w:rPr>
  </w:style>
  <w:style w:type="character" w:styleId="779">
    <w:name w:val="Endnote Text Char"/>
    <w:uiPriority w:val="99"/>
    <w:qFormat/>
    <w:rPr>
      <w:sz w:val="20"/>
    </w:rPr>
  </w:style>
  <w:style w:type="character" w:styleId="78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1">
    <w:name w:val="endnote reference"/>
    <w:rPr>
      <w:vertAlign w:val="superscript"/>
    </w:rPr>
  </w:style>
  <w:style w:type="character" w:styleId="782">
    <w:name w:val="Основной шрифт абзаца"/>
    <w:semiHidden/>
    <w:qFormat/>
  </w:style>
  <w:style w:type="character" w:styleId="783">
    <w:name w:val="Основной текст с отступом 3 Знак"/>
    <w:qFormat/>
    <w:rPr>
      <w:sz w:val="16"/>
      <w:szCs w:val="16"/>
    </w:rPr>
  </w:style>
  <w:style w:type="character" w:styleId="784">
    <w:name w:val="Текст Знак"/>
    <w:qFormat/>
    <w:rPr>
      <w:rFonts w:ascii="Courier New" w:hAnsi="Courier New"/>
    </w:rPr>
  </w:style>
  <w:style w:type="character" w:styleId="785">
    <w:name w:val="Текст выноски Знак"/>
    <w:qFormat/>
    <w:rPr>
      <w:rFonts w:ascii="Tahoma" w:hAnsi="Tahoma" w:cs="Tahoma"/>
      <w:sz w:val="16"/>
      <w:szCs w:val="16"/>
    </w:rPr>
  </w:style>
  <w:style w:type="character" w:styleId="786">
    <w:name w:val="Основной текст с отступом Знак"/>
    <w:qFormat/>
    <w:rPr>
      <w:sz w:val="24"/>
      <w:szCs w:val="24"/>
    </w:rPr>
  </w:style>
  <w:style w:type="character" w:styleId="787">
    <w:name w:val="Верхний колонтитул Знак"/>
    <w:qFormat/>
    <w:rPr>
      <w:sz w:val="24"/>
      <w:szCs w:val="24"/>
    </w:rPr>
  </w:style>
  <w:style w:type="character" w:styleId="788">
    <w:name w:val="Нижний колонтитул Знак"/>
    <w:qFormat/>
    <w:rPr>
      <w:sz w:val="24"/>
      <w:szCs w:val="24"/>
    </w:rPr>
  </w:style>
  <w:style w:type="character" w:styleId="789">
    <w:name w:val="Текст сноски Знак"/>
    <w:basedOn w:val="782"/>
    <w:qFormat/>
  </w:style>
  <w:style w:type="character" w:styleId="790">
    <w:name w:val="Знак сноски"/>
    <w:qFormat/>
    <w:rPr>
      <w:vertAlign w:val="superscript"/>
    </w:rPr>
  </w:style>
  <w:style w:type="character" w:styleId="791" w:default="1">
    <w:name w:val="Default Paragraph Font"/>
    <w:uiPriority w:val="1"/>
    <w:semiHidden/>
    <w:unhideWhenUsed/>
    <w:qFormat/>
  </w:style>
  <w:style w:type="paragraph" w:styleId="792">
    <w:name w:val="Заголовок"/>
    <w:basedOn w:val="749"/>
    <w:next w:val="79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93">
    <w:name w:val="Body Text"/>
    <w:basedOn w:val="749"/>
    <w:pPr>
      <w:spacing w:before="0" w:after="140" w:line="276" w:lineRule="auto"/>
    </w:pPr>
  </w:style>
  <w:style w:type="paragraph" w:styleId="794">
    <w:name w:val="List"/>
    <w:basedOn w:val="793"/>
    <w:rPr>
      <w:rFonts w:cs="Lohit Devanagari"/>
    </w:rPr>
  </w:style>
  <w:style w:type="paragraph" w:styleId="795">
    <w:name w:val="Caption"/>
    <w:basedOn w:val="749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6">
    <w:name w:val="Указатель"/>
    <w:basedOn w:val="749"/>
    <w:qFormat/>
    <w:pPr>
      <w:suppressLineNumbers/>
    </w:pPr>
    <w:rPr>
      <w:rFonts w:cs="Lohit Devanagari"/>
    </w:rPr>
  </w:style>
  <w:style w:type="paragraph" w:styleId="797">
    <w:name w:val="List Paragraph"/>
    <w:basedOn w:val="749"/>
    <w:uiPriority w:val="34"/>
    <w:qFormat/>
    <w:pPr>
      <w:contextualSpacing/>
      <w:ind w:left="720"/>
      <w:spacing w:before="0" w:after="0"/>
    </w:pPr>
  </w:style>
  <w:style w:type="paragraph" w:styleId="79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99">
    <w:name w:val="Title"/>
    <w:basedOn w:val="74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0">
    <w:name w:val="Subtitle"/>
    <w:basedOn w:val="749"/>
    <w:uiPriority w:val="11"/>
    <w:qFormat/>
    <w:pPr>
      <w:spacing w:before="200" w:after="200"/>
    </w:pPr>
    <w:rPr>
      <w:sz w:val="24"/>
      <w:szCs w:val="24"/>
    </w:rPr>
  </w:style>
  <w:style w:type="paragraph" w:styleId="801">
    <w:name w:val="Quote"/>
    <w:basedOn w:val="749"/>
    <w:uiPriority w:val="29"/>
    <w:qFormat/>
    <w:pPr>
      <w:ind w:left="720" w:right="720"/>
    </w:pPr>
    <w:rPr>
      <w:i/>
    </w:rPr>
  </w:style>
  <w:style w:type="paragraph" w:styleId="802">
    <w:name w:val="Intense Quote"/>
    <w:basedOn w:val="74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3">
    <w:name w:val="Колонтитул"/>
    <w:basedOn w:val="749"/>
    <w:qFormat/>
  </w:style>
  <w:style w:type="paragraph" w:styleId="804">
    <w:name w:val="Header"/>
    <w:basedOn w:val="74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5">
    <w:name w:val="Footer"/>
    <w:basedOn w:val="74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6">
    <w:name w:val="footnote text"/>
    <w:basedOn w:val="74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7">
    <w:name w:val="endnote text"/>
    <w:basedOn w:val="74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8">
    <w:name w:val="toc 1"/>
    <w:basedOn w:val="749"/>
    <w:uiPriority w:val="39"/>
    <w:unhideWhenUsed/>
    <w:pPr>
      <w:ind w:left="0" w:right="0" w:firstLine="0"/>
      <w:spacing w:before="0" w:after="57"/>
    </w:pPr>
  </w:style>
  <w:style w:type="paragraph" w:styleId="809">
    <w:name w:val="toc 2"/>
    <w:basedOn w:val="749"/>
    <w:uiPriority w:val="39"/>
    <w:unhideWhenUsed/>
    <w:pPr>
      <w:ind w:left="283" w:right="0" w:firstLine="0"/>
      <w:spacing w:before="0" w:after="57"/>
    </w:pPr>
  </w:style>
  <w:style w:type="paragraph" w:styleId="810">
    <w:name w:val="toc 3"/>
    <w:basedOn w:val="749"/>
    <w:uiPriority w:val="39"/>
    <w:unhideWhenUsed/>
    <w:pPr>
      <w:ind w:left="567" w:right="0" w:firstLine="0"/>
      <w:spacing w:before="0" w:after="57"/>
    </w:pPr>
  </w:style>
  <w:style w:type="paragraph" w:styleId="811">
    <w:name w:val="toc 4"/>
    <w:basedOn w:val="749"/>
    <w:uiPriority w:val="39"/>
    <w:unhideWhenUsed/>
    <w:pPr>
      <w:ind w:left="850" w:right="0" w:firstLine="0"/>
      <w:spacing w:before="0" w:after="57"/>
    </w:pPr>
  </w:style>
  <w:style w:type="paragraph" w:styleId="812">
    <w:name w:val="toc 5"/>
    <w:basedOn w:val="749"/>
    <w:uiPriority w:val="39"/>
    <w:unhideWhenUsed/>
    <w:pPr>
      <w:ind w:left="1134" w:right="0" w:firstLine="0"/>
      <w:spacing w:before="0" w:after="57"/>
    </w:pPr>
  </w:style>
  <w:style w:type="paragraph" w:styleId="813">
    <w:name w:val="toc 6"/>
    <w:basedOn w:val="749"/>
    <w:uiPriority w:val="39"/>
    <w:unhideWhenUsed/>
    <w:pPr>
      <w:ind w:left="1417" w:right="0" w:firstLine="0"/>
      <w:spacing w:before="0" w:after="57"/>
    </w:pPr>
  </w:style>
  <w:style w:type="paragraph" w:styleId="814">
    <w:name w:val="toc 7"/>
    <w:basedOn w:val="749"/>
    <w:uiPriority w:val="39"/>
    <w:unhideWhenUsed/>
    <w:pPr>
      <w:ind w:left="1701" w:right="0" w:firstLine="0"/>
      <w:spacing w:before="0" w:after="57"/>
    </w:pPr>
  </w:style>
  <w:style w:type="paragraph" w:styleId="815">
    <w:name w:val="toc 8"/>
    <w:basedOn w:val="749"/>
    <w:uiPriority w:val="39"/>
    <w:unhideWhenUsed/>
    <w:pPr>
      <w:ind w:left="1984" w:right="0" w:firstLine="0"/>
      <w:spacing w:before="0" w:after="57"/>
    </w:pPr>
  </w:style>
  <w:style w:type="paragraph" w:styleId="816">
    <w:name w:val="toc 9"/>
    <w:basedOn w:val="749"/>
    <w:uiPriority w:val="39"/>
    <w:unhideWhenUsed/>
    <w:pPr>
      <w:ind w:left="2268" w:right="0" w:firstLine="0"/>
      <w:spacing w:before="0" w:after="57"/>
    </w:pPr>
  </w:style>
  <w:style w:type="paragraph" w:styleId="817">
    <w:name w:val="Index Heading"/>
    <w:basedOn w:val="792"/>
  </w:style>
  <w:style w:type="paragraph" w:styleId="81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19">
    <w:name w:val="table of figures"/>
    <w:basedOn w:val="749"/>
    <w:uiPriority w:val="99"/>
    <w:unhideWhenUsed/>
    <w:pPr>
      <w:spacing w:before="0" w:after="0" w:afterAutospacing="0"/>
    </w:pPr>
  </w:style>
  <w:style w:type="paragraph" w:styleId="820">
    <w:name w:val="Body Text Indent"/>
    <w:basedOn w:val="749"/>
    <w:pPr>
      <w:ind w:left="283"/>
      <w:spacing w:before="0" w:after="120"/>
    </w:pPr>
    <w:rPr>
      <w:lang w:val="en-US" w:eastAsia="en-US"/>
    </w:rPr>
  </w:style>
  <w:style w:type="paragraph" w:styleId="821">
    <w:name w:val="Текст"/>
    <w:basedOn w:val="749"/>
    <w:qFormat/>
    <w:rPr>
      <w:rFonts w:ascii="Courier New" w:hAnsi="Courier New"/>
      <w:sz w:val="20"/>
      <w:szCs w:val="20"/>
      <w:lang w:val="en-US" w:eastAsia="en-US"/>
    </w:rPr>
  </w:style>
  <w:style w:type="paragraph" w:styleId="822">
    <w:name w:val="Знак Знак Знак Знак Знак Знак Знак Знак Знак Знак Знак Знак"/>
    <w:basedOn w:val="749"/>
    <w:qFormat/>
    <w:rPr>
      <w:rFonts w:ascii="Verdana" w:hAnsi="Verdana" w:cs="Verdana"/>
      <w:sz w:val="20"/>
      <w:szCs w:val="20"/>
      <w:lang w:val="en-US" w:eastAsia="en-US"/>
    </w:rPr>
  </w:style>
  <w:style w:type="paragraph" w:styleId="823">
    <w:name w:val="Основной текст с отступом 3"/>
    <w:basedOn w:val="749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24">
    <w:name w:val="Текст выноски"/>
    <w:basedOn w:val="749"/>
    <w:qFormat/>
    <w:rPr>
      <w:rFonts w:ascii="Tahoma" w:hAnsi="Tahoma"/>
      <w:sz w:val="16"/>
      <w:szCs w:val="16"/>
      <w:lang w:val="en-US" w:eastAsia="en-US"/>
    </w:rPr>
  </w:style>
  <w:style w:type="paragraph" w:styleId="825">
    <w:name w:val="Текст сноски"/>
    <w:basedOn w:val="749"/>
    <w:qFormat/>
    <w:rPr>
      <w:sz w:val="20"/>
      <w:szCs w:val="20"/>
    </w:rPr>
  </w:style>
  <w:style w:type="paragraph" w:styleId="826">
    <w:name w:val="Содержимое врезки"/>
    <w:basedOn w:val="749"/>
    <w:qFormat/>
  </w:style>
  <w:style w:type="paragraph" w:styleId="827">
    <w:name w:val="Содержимое таблицы"/>
    <w:basedOn w:val="749"/>
    <w:qFormat/>
    <w:pPr>
      <w:widowControl w:val="off"/>
      <w:suppressLineNumbers/>
    </w:pPr>
  </w:style>
  <w:style w:type="paragraph" w:styleId="828">
    <w:name w:val="Заголовок таблицы"/>
    <w:basedOn w:val="827"/>
    <w:qFormat/>
    <w:pPr>
      <w:jc w:val="center"/>
      <w:suppressLineNumbers/>
    </w:pPr>
    <w:rPr>
      <w:b/>
      <w:bCs/>
    </w:rPr>
  </w:style>
  <w:style w:type="numbering" w:styleId="829">
    <w:name w:val="Нет списка"/>
    <w:semiHidden/>
    <w:qFormat/>
  </w:style>
  <w:style w:type="numbering" w:styleId="830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7" w:default="1">
    <w:name w:val="Normal Table"/>
    <w:uiPriority w:val="99"/>
    <w:semiHidden/>
    <w:unhideWhenUsed/>
    <w:tblPr/>
  </w:style>
  <w:style w:type="table" w:styleId="958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1126</cp:revision>
  <dcterms:created xsi:type="dcterms:W3CDTF">2015-07-02T10:18:00Z</dcterms:created>
  <dcterms:modified xsi:type="dcterms:W3CDTF">2026-04-22T04:47:22Z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