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left="284"/>
        <w:jc w:val="right"/>
        <w:spacing w:after="0" w:line="240" w:lineRule="auto"/>
        <w:rPr>
          <w:sz w:val="18"/>
          <w:szCs w:val="18"/>
        </w:rPr>
        <w:outlineLvl w:val="0"/>
      </w:pPr>
      <w:r>
        <w:rPr>
          <w:sz w:val="18"/>
          <w:szCs w:val="18"/>
          <w:lang w:val="en-US"/>
        </w:rPr>
        <w:t xml:space="preserve"> id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82045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«___»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</w:t>
      </w:r>
      <w:r>
        <w:rPr>
          <w:rFonts w:ascii="Times New Roman" w:hAnsi="Times New Roman" w:cs="Times New Roman"/>
          <w:sz w:val="24"/>
          <w:szCs w:val="24"/>
        </w:rPr>
        <w:t xml:space="preserve">именуемый </w:t>
        <w:br/>
        <w:t xml:space="preserve">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действующего на основании _____________________________, с одной стороны, и ___________________, именуемы</w:t>
      </w:r>
      <w:r>
        <w:rPr>
          <w:rFonts w:ascii="Times New Roman" w:hAnsi="Times New Roman" w:cs="Times New Roman"/>
          <w:sz w:val="24"/>
          <w:szCs w:val="24"/>
        </w:rPr>
        <w:t xml:space="preserve">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  <w:t xml:space="preserve">в дальнейшем Арендатор,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sz w:val="24"/>
          <w:szCs w:val="24"/>
        </w:rPr>
        <w:t xml:space="preserve">протокола от_________ по лоту №_______ (далее – протокол), 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следующем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</w:t>
        <w:br/>
        <w:t xml:space="preserve">во временное пользование на условия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59:01:3610007:213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Северная, з/у 15б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</w:t>
        <w:br/>
        <w:t xml:space="preserve">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особым условием использования территорий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Охранная зона Строительство </w:t>
      </w:r>
      <w:r>
        <w:rPr>
          <w:rFonts w:ascii="Times New Roman" w:hAnsi="Times New Roman" w:cs="Times New Roman"/>
          <w:sz w:val="24"/>
          <w:szCs w:val="24"/>
        </w:rPr>
        <w:t xml:space="preserve">участка ВЛ 0,4 кВ от ближайшей </w:t>
      </w:r>
      <w:r>
        <w:rPr>
          <w:rFonts w:ascii="Times New Roman" w:hAnsi="Times New Roman" w:cs="Times New Roman"/>
          <w:sz w:val="24"/>
          <w:szCs w:val="24"/>
        </w:rPr>
        <w:t xml:space="preserve">опоры ВЛ 0,4 кВ от ТП-4103, </w:t>
      </w:r>
      <w:r>
        <w:rPr>
          <w:rFonts w:ascii="Times New Roman" w:hAnsi="Times New Roman" w:cs="Times New Roman"/>
          <w:sz w:val="24"/>
          <w:szCs w:val="24"/>
        </w:rPr>
        <w:t xml:space="preserve">установка оборудования учета э/э на </w:t>
      </w:r>
      <w:r>
        <w:rPr>
          <w:rFonts w:ascii="Times New Roman" w:hAnsi="Times New Roman" w:cs="Times New Roman"/>
          <w:sz w:val="24"/>
          <w:szCs w:val="24"/>
        </w:rPr>
        <w:t xml:space="preserve">опоре ВЛ 0,4 кВ для </w:t>
      </w:r>
      <w:r>
        <w:rPr>
          <w:rFonts w:ascii="Times New Roman" w:hAnsi="Times New Roman" w:cs="Times New Roman"/>
          <w:sz w:val="24"/>
          <w:szCs w:val="24"/>
        </w:rPr>
        <w:t xml:space="preserve">электроснабжения малоэтажной </w:t>
      </w:r>
      <w:r>
        <w:rPr>
          <w:rFonts w:ascii="Times New Roman" w:hAnsi="Times New Roman" w:cs="Times New Roman"/>
          <w:sz w:val="24"/>
          <w:szCs w:val="24"/>
        </w:rPr>
        <w:t xml:space="preserve">жилой застройки по адресу: </w:t>
      </w:r>
      <w:r>
        <w:rPr>
          <w:rFonts w:ascii="Times New Roman" w:hAnsi="Times New Roman" w:cs="Times New Roman"/>
          <w:sz w:val="24"/>
          <w:szCs w:val="24"/>
        </w:rPr>
        <w:t xml:space="preserve">Пермский край, г. Пермь, </w:t>
      </w:r>
      <w:r>
        <w:rPr>
          <w:rFonts w:ascii="Times New Roman" w:hAnsi="Times New Roman" w:cs="Times New Roman"/>
          <w:sz w:val="24"/>
          <w:szCs w:val="24"/>
        </w:rPr>
        <w:t xml:space="preserve">Орджоникидзевский район, северо-</w:t>
      </w:r>
      <w:r>
        <w:rPr>
          <w:rFonts w:ascii="Times New Roman" w:hAnsi="Times New Roman" w:cs="Times New Roman"/>
          <w:sz w:val="24"/>
          <w:szCs w:val="24"/>
        </w:rPr>
        <w:t xml:space="preserve">западнее района очистных </w:t>
      </w:r>
      <w:r>
        <w:rPr>
          <w:rFonts w:ascii="Times New Roman" w:hAnsi="Times New Roman" w:cs="Times New Roman"/>
          <w:sz w:val="24"/>
          <w:szCs w:val="24"/>
        </w:rPr>
        <w:t xml:space="preserve">сооружений Чусовского водозабора </w:t>
      </w:r>
      <w:r>
        <w:rPr>
          <w:rFonts w:ascii="Times New Roman" w:hAnsi="Times New Roman" w:cs="Times New Roman"/>
          <w:sz w:val="24"/>
          <w:szCs w:val="24"/>
        </w:rPr>
        <w:t xml:space="preserve">(кад. номер зем. участка </w:t>
      </w:r>
      <w:r>
        <w:rPr>
          <w:rFonts w:ascii="Times New Roman" w:hAnsi="Times New Roman" w:cs="Times New Roman"/>
          <w:sz w:val="24"/>
          <w:szCs w:val="24"/>
        </w:rPr>
        <w:t xml:space="preserve">59:01:5610027:236).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II и III поясах в</w:t>
      </w:r>
      <w:r>
        <w:rPr>
          <w:rFonts w:ascii="Times New Roman" w:hAnsi="Times New Roman" w:cs="Times New Roman"/>
          <w:sz w:val="24"/>
          <w:szCs w:val="24"/>
        </w:rPr>
        <w:t xml:space="preserve"> зоне санитарной охраны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Чусовского узла водозаборов.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в водоохранной зоне и прибрежной защитной полосе Камского водохранилища.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  <w:lang w:val="en-US"/>
        </w:rPr>
        <w:t xml:space="preserve">Проектирование и строительство необходимо вести в соответствии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с пунктом 4.5 СП 55.13330.2016 Свода Правил. Дома жилые одноквартирные. СНиП </w:t>
        <w:br/>
        <w:t xml:space="preserve">31-02-2001, утвержденным и введенным </w:t>
      </w:r>
      <w:r>
        <w:rPr>
          <w:rFonts w:ascii="Times New Roman" w:hAnsi="Times New Roman"/>
          <w:sz w:val="24"/>
          <w:szCs w:val="24"/>
          <w:lang w:val="en-US"/>
        </w:rPr>
        <w:t xml:space="preserve">в действие Приказом Министерства строительства </w:t>
        <w:br/>
        <w:t xml:space="preserve">и жилищно-коммунального хозяйства Российской Федерации от 20.10.2016 </w:t>
      </w:r>
      <w:r>
        <w:rPr>
          <w:rFonts w:ascii="Times New Roman" w:hAnsi="Times New Roman"/>
          <w:sz w:val="24"/>
          <w:szCs w:val="24"/>
          <w:lang w:val="en-US"/>
        </w:rPr>
        <w:t xml:space="preserve">№ 725/пр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(ред. </w:t>
        <w:br/>
        <w:t xml:space="preserve">от 17.05.2023)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  <w:lang w:val="en-US"/>
        </w:rPr>
        <w:t xml:space="preserve">ом должен включать жилые комнаты – одну или несколько (общую комнату или гостиную, спальню),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</w:r>
      <w:r>
        <w:rPr>
          <w:rFonts w:ascii="Times New Roman" w:hAnsi="Times New Roman"/>
          <w:sz w:val="24"/>
          <w:szCs w:val="24"/>
          <w:lang w:val="en-US"/>
        </w:rPr>
        <w:t xml:space="preserve">борную) или совмещенный санузел</w:t>
      </w:r>
      <w:r>
        <w:rPr>
          <w:rFonts w:ascii="Times New Roman" w:hAnsi="Times New Roman"/>
          <w:sz w:val="24"/>
          <w:szCs w:val="24"/>
        </w:rPr>
        <w:t xml:space="preserve">, переднюю.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6.1 СП 55.13330.2016 площади помещений строящихся </w:t>
        <w:br/>
        <w:t xml:space="preserve">и реконструируемых жилых домов должны быть не менее: общей комнаты в однокомнатном доме - 14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общей комнаты в доме </w:t>
      </w:r>
      <w:r>
        <w:rPr>
          <w:rFonts w:ascii="Times New Roman" w:hAnsi="Times New Roman"/>
          <w:sz w:val="24"/>
          <w:szCs w:val="24"/>
          <w:lang w:val="en-US"/>
        </w:rPr>
        <w:t xml:space="preserve">с числом комнат две и более - 16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спальни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(на двух человек - 10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); кухни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; кухонной зоны в кухне-столовой - 6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В домах </w:t>
      </w:r>
      <w:r>
        <w:rPr>
          <w:rFonts w:ascii="Times New Roman" w:hAnsi="Times New Roman"/>
          <w:sz w:val="24"/>
          <w:szCs w:val="24"/>
          <w:lang w:val="en-US"/>
        </w:rPr>
        <w:t xml:space="preserve">с одной комнатой допускается проектировать кухни или кухни-ниши площадью не менее 5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Площадь спальни и кухни в мансардном этаже (или этаже с наклонными ограждающими конструкциями) допускается не менее 7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при условии, что общая жилая комната имеет площадь не менее </w:t>
        <w:br/>
        <w:t xml:space="preserve">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6.2 СП 55.13330.2016 высота (от пола до потолка) комнат и кухни (кухни-столовой) в климатических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районах строительства IА, IБ, IГ, IД, определяемых по СП 131.13330, должна быть не менее 2,7 м, а в других климатических районах строительства - </w:t>
        <w:br/>
        <w:t xml:space="preserve">не менее 2,5 м. Высота внутридомовых коридоров, холлов, передних, антресолей должна составлять не менее 2,1 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высота пути эвакуации -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2,2 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В жилых комнатах и кухнях, расположенных в этажах </w:t>
      </w:r>
      <w:r>
        <w:rPr>
          <w:rFonts w:ascii="Times New Roman" w:hAnsi="Times New Roman"/>
          <w:sz w:val="24"/>
          <w:szCs w:val="24"/>
          <w:lang w:val="en-US"/>
        </w:rPr>
        <w:t xml:space="preserve">с наклонными ограждающими конструкциями или в мансардном этаже, допускается уменьшение высоты помещений (от пола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  <w:br/>
      </w:r>
      <w:r>
        <w:rPr>
          <w:rFonts w:ascii="Times New Roman" w:hAnsi="Times New Roman"/>
          <w:color w:val="auto"/>
          <w:sz w:val="24"/>
          <w:szCs w:val="24"/>
        </w:rPr>
        <w:t xml:space="preserve">от 24.02.2026 № РФ-59-2-03-0-00-2026-0358-0</w:t>
      </w:r>
      <w:r>
        <w:rPr>
          <w:rFonts w:ascii="Times New Roman" w:hAnsi="Times New Roman"/>
          <w:sz w:val="24"/>
          <w:szCs w:val="24"/>
        </w:rPr>
        <w:t xml:space="preserve">, предельная высота з</w:t>
      </w:r>
      <w:r>
        <w:rPr>
          <w:rFonts w:ascii="Times New Roman" w:hAnsi="Times New Roman"/>
          <w:sz w:val="24"/>
          <w:szCs w:val="24"/>
        </w:rPr>
        <w:t xml:space="preserve">даний, строений не более 10,5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размещени</w:t>
      </w:r>
      <w:r>
        <w:rPr>
          <w:rFonts w:ascii="Times New Roman" w:hAnsi="Times New Roman"/>
          <w:sz w:val="24"/>
          <w:szCs w:val="24"/>
        </w:rPr>
        <w:t xml:space="preserve">я зданий, строений, сооружений </w:t>
      </w:r>
      <w:r>
        <w:rPr>
          <w:rFonts w:ascii="Times New Roman" w:hAnsi="Times New Roman"/>
          <w:sz w:val="24"/>
          <w:szCs w:val="24"/>
        </w:rPr>
        <w:t xml:space="preserve">(за исключе</w:t>
      </w:r>
      <w:r>
        <w:rPr>
          <w:rFonts w:ascii="Times New Roman" w:hAnsi="Times New Roman"/>
          <w:sz w:val="24"/>
          <w:szCs w:val="24"/>
        </w:rPr>
        <w:t xml:space="preserve">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</w:t>
      </w:r>
      <w:r>
        <w:rPr>
          <w:rFonts w:ascii="Times New Roman" w:hAnsi="Times New Roman"/>
          <w:sz w:val="24"/>
          <w:szCs w:val="24"/>
        </w:rPr>
        <w:t xml:space="preserve">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 – 40%.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</w:t>
        <w:br/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67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приступить к использованию земельного участка;</w:t>
      </w:r>
      <w:r/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1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09"/>
        <w:numPr>
          <w:ilvl w:val="0"/>
          <w:numId w:val="15"/>
        </w:numPr>
        <w:contextualSpacing/>
        <w:ind w:left="0" w:right="0" w:firstLine="85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 учесть ограничения по использованию водоохраной зоны и прибрежной защитной полосы Камского водохранилища</w:t>
      </w:r>
      <w:r>
        <w:rPr>
          <w:rFonts w:ascii="Times New Roman" w:hAnsi="Times New Roman"/>
          <w:sz w:val="24"/>
          <w:szCs w:val="24"/>
          <w:highlight w:val="none"/>
        </w:rPr>
        <w:t xml:space="preserve"> в соответствии со ст. 65 Водного </w:t>
      </w:r>
      <w:r>
        <w:rPr>
          <w:rFonts w:ascii="Times New Roman" w:hAnsi="Times New Roman"/>
          <w:sz w:val="24"/>
          <w:szCs w:val="24"/>
          <w:highlight w:val="none"/>
        </w:rPr>
        <w:t xml:space="preserve">кодекса РФ;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numPr>
          <w:ilvl w:val="0"/>
          <w:numId w:val="5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9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9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9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9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обустройство проездов по строительной площадки, а также заездов и выездов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строительной площадки дорожными плитами, исключив щебеночное основание;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9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примыкания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требования,  установленные статьей 65 Водного кодекса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санитарные правила и нормативы, утвержденные постановлением Главного государственного врача Российской Федерации от 14.03.2002 № 10 «О введении в действие Санитарных правил и норм «Зоны санитарной охраны источн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иков водоснабжения и водопроводов питьевого назначения. СанПиН 2.1.4.1110-02»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охраны электрических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сетей, установленные постановлением Правительства Российской Федерации от 24.02.2009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160 «О порядке установления охранных зон объектов электросетевого хозяйства и особых условий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P53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2" w:name="P5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(____________________________________________________________ рублей 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both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«___» _______ 20__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9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/>
          <w:sz w:val="24"/>
          <w:szCs w:val="24"/>
        </w:rPr>
        <w:t xml:space="preserve">1 настоящего договора, Арендатор уплачивает Арендодателю пени в размере 0,03 % от суммы задолженности </w:t>
        <w:br/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0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0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0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09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09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</w:t>
        <w:br/>
        <w:t xml:space="preserve">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7.5.5.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Под особыми обстоя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  <w:br/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708"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7"/>
        <w:gridCol w:w="5386"/>
      </w:tblGrid>
      <w:tr>
        <w:tblPrEx/>
        <w:trPr/>
        <w:tc>
          <w:tcPr>
            <w:tcW w:w="4597" w:type="dxa"/>
            <w:textDirection w:val="lrTb"/>
            <w:noWrap w:val="false"/>
          </w:tcPr>
          <w:p>
            <w:pPr>
              <w:pStyle w:val="909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9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9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614015, г. Пермь,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9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9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09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</w:p>
          <w:p>
            <w:pPr>
              <w:pStyle w:val="909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tbl>
      <w:tblPr>
        <w:tblStyle w:val="9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5386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4" w:name="P133"/>
            <w:r/>
            <w:bookmarkEnd w:id="4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9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9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851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91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center"/>
        </w:pPr>
        <w:r/>
        <w:r/>
      </w:p>
      <w:p>
        <w:pPr>
          <w:pStyle w:val="91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21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05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05"/>
    <w:next w:val="905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06"/>
    <w:link w:val="752"/>
    <w:uiPriority w:val="10"/>
    <w:rPr>
      <w:sz w:val="48"/>
      <w:szCs w:val="48"/>
    </w:rPr>
  </w:style>
  <w:style w:type="paragraph" w:styleId="754">
    <w:name w:val="Subtitle"/>
    <w:basedOn w:val="905"/>
    <w:next w:val="905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6"/>
    <w:link w:val="754"/>
    <w:uiPriority w:val="11"/>
    <w:rPr>
      <w:sz w:val="24"/>
      <w:szCs w:val="24"/>
    </w:rPr>
  </w:style>
  <w:style w:type="paragraph" w:styleId="756">
    <w:name w:val="Quote"/>
    <w:basedOn w:val="905"/>
    <w:next w:val="905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5"/>
    <w:next w:val="905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6"/>
    <w:link w:val="919"/>
    <w:uiPriority w:val="99"/>
  </w:style>
  <w:style w:type="character" w:styleId="761">
    <w:name w:val="Footer Char"/>
    <w:basedOn w:val="906"/>
    <w:link w:val="921"/>
    <w:uiPriority w:val="99"/>
  </w:style>
  <w:style w:type="paragraph" w:styleId="762">
    <w:name w:val="Caption"/>
    <w:basedOn w:val="905"/>
    <w:next w:val="905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906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character" w:styleId="890">
    <w:name w:val="Footnote Text Char"/>
    <w:link w:val="914"/>
    <w:uiPriority w:val="99"/>
    <w:rPr>
      <w:sz w:val="18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1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1">
    <w:name w:val="Body Text Indent 2"/>
    <w:basedOn w:val="905"/>
    <w:link w:val="91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Основной текст с отступом 2 Знак"/>
    <w:basedOn w:val="906"/>
    <w:link w:val="91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3">
    <w:name w:val="Table Grid"/>
    <w:basedOn w:val="907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>
    <w:name w:val="footnote text"/>
    <w:basedOn w:val="905"/>
    <w:link w:val="91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5" w:customStyle="1">
    <w:name w:val="Текст сноски Знак"/>
    <w:basedOn w:val="906"/>
    <w:link w:val="914"/>
    <w:uiPriority w:val="99"/>
    <w:semiHidden/>
    <w:rPr>
      <w:sz w:val="20"/>
      <w:szCs w:val="20"/>
    </w:rPr>
  </w:style>
  <w:style w:type="character" w:styleId="916">
    <w:name w:val="footnote reference"/>
    <w:semiHidden/>
    <w:unhideWhenUsed/>
    <w:rPr>
      <w:vertAlign w:val="superscript"/>
    </w:rPr>
  </w:style>
  <w:style w:type="table" w:styleId="917" w:customStyle="1">
    <w:name w:val="Сетка таблицы1"/>
    <w:basedOn w:val="907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8">
    <w:name w:val="Strong"/>
    <w:basedOn w:val="906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19">
    <w:name w:val="Header"/>
    <w:basedOn w:val="905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906"/>
    <w:link w:val="919"/>
    <w:uiPriority w:val="99"/>
  </w:style>
  <w:style w:type="paragraph" w:styleId="921">
    <w:name w:val="Footer"/>
    <w:basedOn w:val="905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906"/>
    <w:link w:val="921"/>
    <w:uiPriority w:val="99"/>
  </w:style>
  <w:style w:type="paragraph" w:styleId="923">
    <w:name w:val="Balloon Text"/>
    <w:basedOn w:val="905"/>
    <w:link w:val="9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906"/>
    <w:link w:val="923"/>
    <w:uiPriority w:val="99"/>
    <w:semiHidden/>
    <w:rPr>
      <w:rFonts w:ascii="Tahoma" w:hAnsi="Tahoma" w:cs="Tahoma"/>
      <w:sz w:val="16"/>
      <w:szCs w:val="16"/>
    </w:rPr>
  </w:style>
  <w:style w:type="paragraph" w:styleId="925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Times New Roman"/>
    <w:basedOn w:val="884"/>
    <w:qFormat/>
    <w:pPr>
      <w:contextualSpacing w:val="0"/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26</cp:revision>
  <dcterms:created xsi:type="dcterms:W3CDTF">2024-03-22T04:14:00Z</dcterms:created>
  <dcterms:modified xsi:type="dcterms:W3CDTF">2026-04-29T06:38:17Z</dcterms:modified>
</cp:coreProperties>
</file>