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30.04.2026 № 059-19-01-11-66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</w:t>
      </w:r>
      <w:r>
        <w:rPr>
          <w:rFonts w:cs="Times New Roman" w:ascii="Times New Roman" w:hAnsi="Times New Roman"/>
          <w:b/>
          <w:sz w:val="28"/>
          <w:szCs w:val="28"/>
          <w:shd w:fill="auto" w:val="clear"/>
          <w:lang w:val="ru-RU"/>
        </w:rPr>
        <w:t xml:space="preserve"> 09.06.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2026 электронного аукциона на право заключения договора аренды земельного участка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Электронный аукцион на право заключения договора аренды земельного участка (далее – аукцион) проводится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16"/>
          <w:szCs w:val="24"/>
        </w:rPr>
        <w:t xml:space="preserve"> </w:t>
      </w:r>
      <w:r>
        <w:rPr>
          <w:bCs/>
          <w:sz w:val="24"/>
          <w:szCs w:val="28"/>
        </w:rPr>
        <w:t>30.04.2026 № 059-19-01-11-66.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>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местного самоуправления, принявшего решение </w:t>
              <w:br/>
              <w:t>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указанного </w:t>
              <w:br/>
              <w:t>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000000"/>
                <w:sz w:val="24"/>
                <w:szCs w:val="28"/>
                <w:shd w:fill="auto" w:val="clear"/>
                <w:lang w:val="ru-RU" w:eastAsia="zh-CN" w:bidi="ar-SA"/>
              </w:rPr>
              <w:t xml:space="preserve">от 15 апреля 2026 г. № 21-01-03-2468 «О проведении аукциона </w:t>
            </w:r>
            <w:r>
              <w:rPr>
                <w:rFonts w:eastAsia="Droid Sans Fallback" w:cs="Lohit Devanagari"/>
                <w:color w:val="000000"/>
                <w:kern w:val="0"/>
                <w:sz w:val="24"/>
                <w:szCs w:val="28"/>
                <w:shd w:fill="auto" w:val="clear"/>
                <w:lang w:val="ru-RU" w:eastAsia="zh-CN" w:bidi="ar-SA"/>
              </w:rPr>
              <w:t>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аукциона </w:t>
              <w:br/>
              <w:t xml:space="preserve">на право заключения </w:t>
              <w:br/>
              <w:t>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15б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59:01:3610007:213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29.04.2026г.                 № КУВИ-001/2026-58891037 (далее – ЕГРН);</w:t>
            </w:r>
          </w:p>
          <w:p>
            <w:pPr>
              <w:pStyle w:val="Normal"/>
              <w:ind w:firstLine="311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24.02</w:t>
            </w:r>
            <w:r>
              <w:rPr>
                <w:color w:val="000000"/>
                <w:sz w:val="24"/>
                <w:szCs w:val="24"/>
                <w:shd w:fill="auto" w:val="clear"/>
              </w:rPr>
              <w:t>.2026 № РФ-59-2-03-0-00-2026-0358-0 </w:t>
            </w:r>
            <w:r>
              <w:rPr>
                <w:sz w:val="24"/>
                <w:szCs w:val="24"/>
                <w:shd w:fill="auto" w:val="clear"/>
              </w:rPr>
              <w:t>(далее – ГПЗУ).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Приложение 2 к настоящему извещению)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Состояние рельефа земельного участка – уклон. На обследуемом земельном участке произрастают многолетние лиственные и хвойные деревья. Объекты капитального/некапитального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пожарные гидранты: Пермский край, </w:t>
              <w:br/>
              <w:t>г. Пермь, Орджоникидзевский район, ул. Ленина (Голованово) между жилыми домами 10 и 12, ул. Зелёная, в непосредственной близости расположен водный объект р. Васильевка.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14.04.2026 № 059-37-01-32/3-2142, в акте обследования земельного участка от 14.04.2026 № 34).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29</w:t>
            </w:r>
            <w:r>
              <w:rPr>
                <w:color w:val="auto"/>
                <w:sz w:val="24"/>
                <w:szCs w:val="24"/>
                <w:highlight w:val="white"/>
              </w:rPr>
              <w:t>.04.2026 № 677543</w:t>
            </w:r>
            <w:r>
              <w:rPr>
                <w:color w:val="auto"/>
                <w:sz w:val="24"/>
                <w:szCs w:val="24"/>
              </w:rPr>
              <w:t xml:space="preserve">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 пояс)», реестровый номер 59:00-6.649;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зона санитарной охраны источников водоснабжения </w:t>
              <w:br/>
              <w:t>и водопроводов питьевого назначения «Зона санитарной охраны Чусовского узла водозаборов (III пояс)», реестровый номер 59:00-6.648;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водоохранной зоны Камского водохранилища», реестровый ноер 59:01-6.1326;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зона охраны природных объектов «Часть прибрежной защитной полосы Камского водохранилища», реестровый номер 59:01-6.4321.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Необходимо соблюдать ограничения, установленные ст. 65 Водного кодекса Российской Федерации </w:t>
              <w:br/>
              <w:t>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частично площадью 1 кв.м, охранная зона Строительство участка ВЛ 0,4 кВ от ближайшей опоры ВЛ 0,4 кВ от ТП - 4103, установка оборудования учета э/э на опоре ВЛ 0,4 кВ для электроснабжения малоэтажной жилой застройки по адресу: Пермский край, г. Пермь, Орджоникидзевский район, северо-западнее района очистных сооружений Чусовского водозабора (кад. номер зем. участка 59:01:5610027:236), реестровый номер 59:01-6.12485;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постановлением Главного государственного санитарного врача РФ от 14.03.2002 № 10 «О введении </w:t>
              <w:br/>
              <w:t>в действие Санитарных правил и норм «Зоны санитарной охраны источников водоснабжения и водопроводов питьевого назначения. СанПиН 2.1.4.1110-02»/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Во 2, 3 поясах не допускается: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т.ч. применение удобрений и ядохимикатов;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Мероприятия по второму и третьему поясам: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3.2.2.3. Запрещение закачки отработанных вод в подземные горизонты, подземного складирования твердых отходов и разработки недр земли.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3.2.2.4. 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Приказом Камского бассейнового водного управления Федерального агентства водных ресурсов от 07.07.2014 № 163 «Об установлении границ водоохранных зон и прибрежных защитных полос Камского водохранилища».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/>
              <w:t>с п</w:t>
            </w:r>
            <w:r>
              <w:rPr>
                <w:highlight w:val="white"/>
              </w:rPr>
              <w:t>остановлением Правительства Российской Федерации от 24.02.2009 № 160 «О порядке установления</w:t>
            </w:r>
            <w:r>
              <w:rPr/>
              <w:t xml:space="preserve"> </w:t>
            </w:r>
            <w:r>
              <w:rPr>
                <w:highlight w:val="white"/>
              </w:rPr>
              <w:t>охранных зон объектов электросетевого хозяйства и особых условий использования земельных участков,</w:t>
            </w:r>
            <w:r>
              <w:rPr/>
              <w:t xml:space="preserve"> </w:t>
            </w:r>
            <w:r>
              <w:rPr>
                <w:highlight w:val="white"/>
              </w:rPr>
              <w:t>расположенных в границах таких зон»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 Участке произрастает 281 дерево породы «ель», «береза», «ива», «клен».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20.02.2026 № 38.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20.02.2026 № 059-33-01-10/3-98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val="auto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val="auto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03.02.2026 № 059-24-01-36/3-267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Волховская, 37 (ПСЧ-57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(Голованово) отсутствуют. Ближайший участковый пункт расположен по адресу: г. Пермь, ул. Бенгальская, 6 (микрорайон Бумкомбинат,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 - 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03.02.2026 № 059-10-01-27/3-139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Строительство сетей водоснабжения в мкр. Голованово Схемами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03.02.2026 № 059-04-17/3-93-ри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</w:t>
              <w:br/>
              <w:t>допустимые параметры разрешенного строительства 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color w:themeColor="text1" w:val="000000"/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  <w:highlight w:val="none"/>
                <w:u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Cs w:val="24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themeColor="text1" w:val="000000"/>
                  <w:u w:val="none"/>
                </w:rPr>
                <w:t>www.gorodperm.ru</w:t>
              </w:r>
            </w:hyperlink>
            <w:r>
              <w:rPr>
                <w:color w:themeColor="text1" w:val="000000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границах участка сети и охранные зоны ПАО «Россети Урал»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1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 подготовке градостроительного плана земельного участка необходимо предусмотреть коридоры </w:t>
              <w:br/>
              <w:t>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color w:val="auto"/>
                <w:sz w:val="24"/>
                <w:szCs w:val="24"/>
              </w:rPr>
              <w:t xml:space="preserve">филиала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val="auto"/>
                <w:sz w:val="24"/>
                <w:szCs w:val="24"/>
              </w:rPr>
              <w:t>от 16.02.2026 № ПЭ/ПГЭС/01/01/2090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06.02.2026 № 51000-32-00468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02.04.2026 № 059-04-25/3-57-ри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02.04.2026 № ПФ-2317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точкой подключения к сетям водоснабжения, эксплуатируемой ООО «НОВОГОР - Прикамье», является водопровод Д-63 мм по ул.Северная.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связи с тем, что в месте расположения земельного участка отсутствуют сети канализации, может быть применен альтернативный способ канализования, без подключения к централизованной системе канализации г. Перми (отвод стоков возможен на локальные очистные сооружения либо 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вышеуказанного земельного участка отсутствуют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этом обращаем Ваше внимание, что размещение объекта необходимо предусматривать строго за пределами охранных зон сетей водопровода и канализации в соответствии норм CП, в том числе в соответствии таблицы 12.5 CП 42.13330.2016 «Градостроительство планировка и настройка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 - Прикамье» </w:t>
            </w:r>
            <w:r>
              <w:rPr>
                <w:color w:val="auto"/>
                <w:sz w:val="24"/>
                <w:szCs w:val="24"/>
              </w:rPr>
              <w:t>от 06.02.2026 № 110-1487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Бенгальская, 14А),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земельного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2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04.02.2026 № 01/05/14305/26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По условиям пункта 4.3 проекта договора аренды земельного участка, приобретаемого на торгах в форме аукциона, для строительства (Приложение 1</w:t>
              <w:br/>
              <w:t xml:space="preserve">к настоящему извещению), победитель аукциона, иное лицо, с которым договор заключается </w:t>
              <w:br/>
              <w:t xml:space="preserve">в соответствии с п.13, п.14, п. 20 или п. 25  ст. 39.12 Земельного Кодекса Российской Федерации (далее – ЗК РФ), обязан </w:t>
              <w:br/>
              <w:t xml:space="preserve">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  <w:br/>
            </w:r>
            <w:r>
              <w:rPr>
                <w:b/>
                <w:bCs/>
                <w:sz w:val="24"/>
                <w:szCs w:val="24"/>
                <w:shd w:fill="auto" w:val="clear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реквизиты которого указаны </w:t>
              <w:br/>
              <w:t>в проекте договора аренды земельного участка (Приложение 1</w:t>
              <w:br/>
              <w:t>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141 400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7 070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70 700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687" w:left="-567" w:right="0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01.05.2026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07.06.2026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08.06.2026.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09.06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</w:t>
        <w:br/>
        <w:t>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3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01.05.2026 по 07.06.2026.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01.05.2026 по 07.06.2026 с 9.00 до 18.00 по местному времени (7:00 – 16:00 МСК). </w:t>
      </w:r>
    </w:p>
    <w:p>
      <w:pPr>
        <w:pStyle w:val="NormalWeb"/>
        <w:jc w:val="center"/>
        <w:rPr>
          <w:highlight w:val="none"/>
        </w:rPr>
      </w:pPr>
      <w:r>
        <w:rPr/>
      </w:r>
    </w:p>
    <w:p>
      <w:pPr>
        <w:pStyle w:val="NormalWeb"/>
        <w:jc w:val="center"/>
        <w:rPr>
          <w:b/>
          <w:bCs/>
          <w:color w:val="000000"/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 xml:space="preserve">кладывает предусмотренные извещением </w:t>
        <w:br/>
        <w:t xml:space="preserve">о проведении аукциона файлы документов (при необходимости). Документы и сведения </w:t>
        <w:br/>
        <w:t xml:space="preserve">из регистрационных данных заявителя на универсальной торговой платформе, актуальные на дату </w:t>
        <w:br/>
        <w:t>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</w:t>
        <w:br/>
        <w:t xml:space="preserve">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</w:t>
        <w:br/>
        <w:t xml:space="preserve">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</w:t>
        <w:br/>
        <w:t>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</w:t>
        <w:br/>
        <w:t>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</w:t>
        <w:br/>
        <w:t>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</w:t>
        <w:br/>
        <w:t>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 договора является частью извещения и представлен в Приложении 1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14"/>
      <w:headerReference w:type="first" r:id="rId15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17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mailto:perm-mail@ural.rt.ru" TargetMode="External"/><Relationship Id="rId13" Type="http://schemas.openxmlformats.org/officeDocument/2006/relationships/hyperlink" Target="http://utp.sberbank-ast.ru/AP/Notice/653/Requisites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LibreOffice/7.6.7.2$Linux_X86_64 LibreOffice_project/60$Build-2</Application>
  <AppVersion>15.0000</AppVersion>
  <Pages>17</Pages>
  <Words>5781</Words>
  <Characters>40844</Characters>
  <CharactersWithSpaces>46508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2026-04-30T16:32:00Z</dcterms:modified>
  <cp:revision>432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