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ind w:left="284"/>
        <w:jc w:val="right"/>
        <w:spacing w:after="0" w:line="240" w:lineRule="auto"/>
        <w:rPr>
          <w:sz w:val="18"/>
          <w:szCs w:val="18"/>
        </w:rPr>
        <w:outlineLvl w:val="0"/>
      </w:pPr>
      <w:r>
        <w:rPr>
          <w:sz w:val="18"/>
          <w:szCs w:val="18"/>
          <w:lang w:val="en-US"/>
        </w:rPr>
        <w:t xml:space="preserve"> id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2048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7513"/>
        <w:spacing w:after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«___»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земельных отношений администрации города Перми, </w:t>
      </w:r>
      <w:r>
        <w:rPr>
          <w:rFonts w:ascii="Times New Roman" w:hAnsi="Times New Roman" w:cs="Times New Roman"/>
          <w:sz w:val="24"/>
          <w:szCs w:val="24"/>
        </w:rPr>
        <w:t xml:space="preserve">именуемый </w:t>
        <w:br/>
        <w:t xml:space="preserve">в дальнейшем Арендодатель, </w:t>
      </w:r>
      <w:r>
        <w:rPr>
          <w:rFonts w:ascii="Times New Roman" w:hAnsi="Times New Roman" w:cs="Times New Roman"/>
          <w:b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_____________________, действующего на основании _____________________________, с одной стороны, и ___________________, именуемы</w:t>
      </w:r>
      <w:r>
        <w:rPr>
          <w:rFonts w:ascii="Times New Roman" w:hAnsi="Times New Roman" w:cs="Times New Roman"/>
          <w:sz w:val="24"/>
          <w:szCs w:val="24"/>
        </w:rPr>
        <w:t xml:space="preserve">й(</w:t>
      </w:r>
      <w:r>
        <w:rPr>
          <w:rFonts w:ascii="Times New Roman" w:hAnsi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  <w:t xml:space="preserve">в дальнейшем Арендатор,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________________, </w:t>
      </w:r>
      <w:r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sz w:val="24"/>
          <w:szCs w:val="24"/>
        </w:rPr>
        <w:t xml:space="preserve"> __________, </w:t>
      </w:r>
      <w:r>
        <w:rPr>
          <w:rFonts w:ascii="Times New Roman" w:hAnsi="Times New Roman" w:cs="Times New Roman"/>
          <w:sz w:val="24"/>
          <w:szCs w:val="24"/>
        </w:rPr>
        <w:t xml:space="preserve">протокола от_________ по лоту №_______ (далее – протокол), </w:t>
      </w:r>
      <w:r>
        <w:rPr>
          <w:rFonts w:ascii="Times New Roman" w:hAnsi="Times New Roman" w:cs="Times New Roman"/>
          <w:sz w:val="24"/>
          <w:szCs w:val="24"/>
        </w:rPr>
        <w:t xml:space="preserve">заключили настоящий договор о следующем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ind w:firstLine="540"/>
        <w:jc w:val="both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</w:t>
        <w:br/>
        <w:t xml:space="preserve">во временное пользование на условия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59:01:4015003:127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1215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улица Севастопольская, з/у 34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</w:t>
        <w:br/>
        <w:t xml:space="preserve">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расположен в зонах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особым условием использования территорий: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частично </w:t>
      </w:r>
      <w:r>
        <w:rPr>
          <w:rFonts w:ascii="Times New Roman" w:hAnsi="Times New Roman" w:cs="Times New Roman"/>
          <w:sz w:val="24"/>
          <w:szCs w:val="24"/>
        </w:rPr>
        <w:t xml:space="preserve">охранная зона Строительство </w:t>
      </w:r>
      <w:r>
        <w:rPr>
          <w:rFonts w:ascii="Times New Roman" w:hAnsi="Times New Roman" w:cs="Times New Roman"/>
          <w:sz w:val="24"/>
          <w:szCs w:val="24"/>
        </w:rPr>
        <w:t xml:space="preserve">участка ВЛ 6 </w:t>
      </w:r>
      <w:r>
        <w:rPr>
          <w:rFonts w:ascii="Times New Roman" w:hAnsi="Times New Roman" w:cs="Times New Roman"/>
          <w:sz w:val="24"/>
          <w:szCs w:val="24"/>
        </w:rPr>
        <w:t xml:space="preserve">КВ Ф. </w:t>
      </w:r>
      <w:r>
        <w:rPr>
          <w:rFonts w:ascii="Times New Roman" w:hAnsi="Times New Roman" w:cs="Times New Roman"/>
          <w:sz w:val="24"/>
          <w:szCs w:val="24"/>
        </w:rPr>
        <w:t xml:space="preserve">ЗАПРУД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0"/>
          <w:numId w:val="13"/>
        </w:numPr>
        <w:ind w:left="567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приаэродромная территория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аэродрома аэропорта Большое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Савино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индивидуального жилищного строительств</w:t>
      </w:r>
      <w:r>
        <w:rPr>
          <w:rFonts w:ascii="Times New Roman" w:hAnsi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  <w:lang w:val="en-US"/>
        </w:rPr>
        <w:t xml:space="preserve">Проектирование и строительство необходимо вести в соответствии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en-US"/>
        </w:rPr>
        <w:t xml:space="preserve">с пунктом 4.5 СП 55.13330.2016 Свода Правил. Дома жилые одноквартирные. СНиП </w:t>
        <w:br/>
        <w:t xml:space="preserve">31-02-2001, утвержденным и введенным </w:t>
      </w:r>
      <w:r>
        <w:rPr>
          <w:rFonts w:ascii="Times New Roman" w:hAnsi="Times New Roman"/>
          <w:sz w:val="24"/>
          <w:szCs w:val="24"/>
          <w:lang w:val="en-US"/>
        </w:rPr>
        <w:t xml:space="preserve">в действие Приказом Министерства строительства </w:t>
        <w:br/>
        <w:t xml:space="preserve">и жилищно-коммунального хозяйства Российской Федерации от 20.10.2016 </w:t>
      </w:r>
      <w:r>
        <w:rPr>
          <w:rFonts w:ascii="Times New Roman" w:hAnsi="Times New Roman"/>
          <w:sz w:val="24"/>
          <w:szCs w:val="24"/>
          <w:lang w:val="en-US"/>
        </w:rPr>
        <w:t xml:space="preserve">№ 725/пр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(ред. </w:t>
        <w:br/>
        <w:t xml:space="preserve">от 17.05.2023)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  <w:lang w:val="en-US"/>
        </w:rPr>
        <w:t xml:space="preserve">ом должен включать жилые комнаты – одну или несколько (общую комнату или гостиную, спальню),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а также вспомогательные помещения: переднюю, кухню (в том числе кухню-столовую и (или) кухню-нишу), ванные комнаты и (или) душевые, туалет (у</w:t>
      </w:r>
      <w:r>
        <w:rPr>
          <w:rFonts w:ascii="Times New Roman" w:hAnsi="Times New Roman"/>
          <w:sz w:val="24"/>
          <w:szCs w:val="24"/>
          <w:lang w:val="en-US"/>
        </w:rPr>
        <w:t xml:space="preserve">борную) или совмещенный санузел</w:t>
      </w:r>
      <w:r>
        <w:rPr>
          <w:rFonts w:ascii="Times New Roman" w:hAnsi="Times New Roman"/>
          <w:sz w:val="24"/>
          <w:szCs w:val="24"/>
        </w:rPr>
        <w:t xml:space="preserve">, переднюю.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/>
          <w:sz w:val="24"/>
          <w:szCs w:val="24"/>
          <w:lang w:val="en-US"/>
        </w:rPr>
        <w:t xml:space="preserve">Согласно пункту 6.1 СП 55.13330.2016 площади помещений строящихся </w:t>
        <w:br/>
        <w:t xml:space="preserve">и реконструируемых жилых домов должны быть не менее: общей комнаты в однокомнатном доме - 14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, общей комнаты в доме </w:t>
      </w:r>
      <w:r>
        <w:rPr>
          <w:rFonts w:ascii="Times New Roman" w:hAnsi="Times New Roman"/>
          <w:sz w:val="24"/>
          <w:szCs w:val="24"/>
          <w:lang w:val="en-US"/>
        </w:rPr>
        <w:t xml:space="preserve">с числом комнат две и более - 16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, спальни - 8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 (на двух человек - 10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); кухни - 8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; кухонной зоны в кухне-столовой - 6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В домах </w:t>
      </w:r>
      <w:r>
        <w:rPr>
          <w:rFonts w:ascii="Times New Roman" w:hAnsi="Times New Roman"/>
          <w:sz w:val="24"/>
          <w:szCs w:val="24"/>
          <w:lang w:val="en-US"/>
        </w:rPr>
        <w:t xml:space="preserve">с одной комнатой допускается проектировать кухни или кухни-ниши площадью не менее 5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Площадь спальни и кухни в мансардном этаже (или этаже с наклонными ограждающими конструкциями) допускается не менее 7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 при условии, что общая жилая комната имеет площадь не менее </w:t>
        <w:br/>
        <w:t xml:space="preserve">16 м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</w:t>
      </w:r>
      <w:r>
        <w:rPr>
          <w:rFonts w:ascii="Times New Roman" w:hAnsi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/>
          <w:sz w:val="24"/>
          <w:szCs w:val="24"/>
          <w:lang w:val="en-US"/>
        </w:rPr>
        <w:t xml:space="preserve">Согласно пункту 6.2 СП 55.13330.2016 высота (от пола до потолка) комнат и кухни (кухни-столовой) в климатических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районах строительства IА, IБ, IГ, IД, определяемых по СП 131.13330, должна быть не менее 2,7 м, а в других климатических районах строительства - </w:t>
        <w:br/>
        <w:t xml:space="preserve">не менее 2,5 м. Высота внутридомовых коридоров, холлов, передних, антресолей должна составлять не менее 2,1 м,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а высота пути эвакуации - не менее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2,2 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/>
          <w:sz w:val="24"/>
          <w:szCs w:val="24"/>
          <w:lang w:val="en-US"/>
        </w:rPr>
        <w:t xml:space="preserve">В жилых комнатах и кухнях, расположенных в этажах </w:t>
      </w:r>
      <w:r>
        <w:rPr>
          <w:rFonts w:ascii="Times New Roman" w:hAnsi="Times New Roman"/>
          <w:sz w:val="24"/>
          <w:szCs w:val="24"/>
          <w:lang w:val="en-US"/>
        </w:rPr>
        <w:t xml:space="preserve">с наклонными ограждающими конструкциями или в мансардном этаже, допускается уменьшение высоты помещений (от пола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  <w:br/>
      </w:r>
      <w:r>
        <w:rPr>
          <w:rFonts w:ascii="Times New Roman" w:hAnsi="Times New Roman"/>
          <w:color w:val="auto"/>
          <w:sz w:val="24"/>
          <w:szCs w:val="24"/>
        </w:rPr>
        <w:t xml:space="preserve">от 05.03.2026 № РФ-59-2-03-0-00-2026-0453-0</w:t>
      </w:r>
      <w:r>
        <w:rPr>
          <w:rFonts w:ascii="Times New Roman" w:hAnsi="Times New Roman"/>
          <w:sz w:val="24"/>
          <w:szCs w:val="24"/>
        </w:rPr>
        <w:t xml:space="preserve"> (далее – ГПЗУ), предельная высота з</w:t>
      </w:r>
      <w:r>
        <w:rPr>
          <w:rFonts w:ascii="Times New Roman" w:hAnsi="Times New Roman"/>
          <w:sz w:val="24"/>
          <w:szCs w:val="24"/>
        </w:rPr>
        <w:t xml:space="preserve">даний, строений не более 10,5 м.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Минимальный отступ от границ земельного участка до места допустимого размещени</w:t>
      </w:r>
      <w:r>
        <w:rPr>
          <w:rFonts w:ascii="Times New Roman" w:hAnsi="Times New Roman"/>
          <w:sz w:val="24"/>
          <w:szCs w:val="24"/>
        </w:rPr>
        <w:t xml:space="preserve">я зданий, строений, сооружений </w:t>
      </w:r>
      <w:r>
        <w:rPr>
          <w:rFonts w:ascii="Times New Roman" w:hAnsi="Times New Roman"/>
          <w:sz w:val="24"/>
          <w:szCs w:val="24"/>
        </w:rPr>
        <w:t xml:space="preserve">(за исключе</w:t>
      </w:r>
      <w:r>
        <w:rPr>
          <w:rFonts w:ascii="Times New Roman" w:hAnsi="Times New Roman"/>
          <w:sz w:val="24"/>
          <w:szCs w:val="24"/>
        </w:rPr>
        <w:t xml:space="preserve">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</w:t>
      </w:r>
      <w:r>
        <w:rPr>
          <w:rFonts w:ascii="Times New Roman" w:hAnsi="Times New Roman"/>
          <w:sz w:val="24"/>
          <w:szCs w:val="24"/>
        </w:rPr>
        <w:t xml:space="preserve">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процент застройки в границах Участка – 30%.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</w:t>
        <w:br/>
        <w:t xml:space="preserve">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5"/>
        <w:ind w:firstLine="567"/>
        <w:jc w:val="both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3.2.1. своевременно приступить к использованию земельного участка;</w:t>
      </w:r>
      <w:r/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сохранять геодезические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ственные, лесоустроительные и иные специальные информационные знаки, установленные на земельных участках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3.2.6.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3.2.7.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целях обеспечения его безопасности в случае, если земельный участок расположен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3.2.8. </w:t>
      </w: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912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5"/>
        <w:numPr>
          <w:ilvl w:val="0"/>
          <w:numId w:val="5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whit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5"/>
        <w:numPr>
          <w:ilvl w:val="0"/>
          <w:numId w:val="6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05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бор</w:t>
      </w:r>
      <w:r>
        <w:rPr>
          <w:rFonts w:ascii="Times New Roman" w:hAnsi="Times New Roman"/>
          <w:sz w:val="24"/>
          <w:szCs w:val="24"/>
          <w:highlight w:val="whit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whit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whit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whit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05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5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обустройство проездов по строительной площадки, а также заездов и выездов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 строительной площадки дорожными плитами, исключив щебеночное основание;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pStyle w:val="905"/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примыкания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г. Перми необходимо:</w:t>
      </w:r>
      <w:r>
        <w:rPr>
          <w:highlight w:val="white"/>
        </w:rPr>
      </w:r>
      <w:r>
        <w:rPr>
          <w:highlight w:val="white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white"/>
        </w:rPr>
      </w:r>
      <w:r>
        <w:rPr>
          <w:highlight w:val="white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облюдать при использовании земельных участков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3.2.20.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/>
    </w:p>
    <w:p>
      <w:pPr>
        <w:pStyle w:val="905"/>
        <w:contextualSpacing/>
        <w:ind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при использовании земельного участка правила охраны электрических сетей, установленные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спользования земельных участков, расположенных в границах таких зон»;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5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1" w:name="P53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4.1. Срок аренды земельного участка устанавливается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2" w:name="P51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 (____________________________________________________________ рублей __</w:t>
      </w:r>
      <w:r>
        <w:rPr>
          <w:rFonts w:ascii="Times New Roman" w:hAnsi="Times New Roman" w:cs="Times New Roman"/>
          <w:b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both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«___» _______ 20__ г.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05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За просрочку исполнения обязательства по внесению арендной платы, нарушение срока возврата земельного участка, установленного в пункте 3.2.1</w:t>
      </w:r>
      <w:r>
        <w:rPr>
          <w:rFonts w:ascii="Times New Roman" w:hAnsi="Times New Roman" w:cs="Times New Roman"/>
          <w:sz w:val="24"/>
          <w:szCs w:val="24"/>
        </w:rPr>
        <w:t xml:space="preserve">1 настоящего договора, Арендатор уплачивает Арендодателю пени в размере 0,03 % от суммы задолженности </w:t>
        <w:br/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  <w:br/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905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905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905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905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905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</w:t>
        <w:br/>
        <w:t xml:space="preserve">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</w:t>
        <w:br/>
        <w:t xml:space="preserve">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кадастре недвижимости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  <w:u w:val="none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</w:t>
        <w:br/>
        <w:t xml:space="preserve">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</w:t>
        <w:br/>
        <w:t xml:space="preserve">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</w:t>
        <w:br/>
        <w:t xml:space="preserve">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7.5.5. </w:t>
      </w:r>
      <w:r>
        <w:rPr>
          <w:rFonts w:ascii="Times New Roman" w:hAnsi="Times New Roman" w:cs="Times New Roman"/>
          <w:sz w:val="24"/>
          <w:szCs w:val="24"/>
        </w:rPr>
        <w:t xml:space="preserve">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Под особыми обстоя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  <w:br/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708"/>
        <w:jc w:val="bot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>
        <w:rPr>
          <w:rFonts w:ascii="Times New Roman" w:hAnsi="Times New Roman" w:cs="Times New Roman"/>
          <w:sz w:val="24"/>
          <w:szCs w:val="24"/>
        </w:rPr>
        <w:t xml:space="preserve">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</w:t>
      </w:r>
      <w:r>
        <w:rPr>
          <w:rFonts w:ascii="Times New Roman" w:hAnsi="Times New Roman" w:cs="Times New Roman"/>
          <w:sz w:val="24"/>
          <w:szCs w:val="24"/>
        </w:rPr>
        <w:t xml:space="preserve">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5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97"/>
        <w:gridCol w:w="5386"/>
      </w:tblGrid>
      <w:tr>
        <w:tblPrEx/>
        <w:trPr/>
        <w:tc>
          <w:tcPr>
            <w:tcW w:w="4597" w:type="dxa"/>
            <w:textDirection w:val="lrTb"/>
            <w:noWrap w:val="false"/>
          </w:tcPr>
          <w:p>
            <w:pPr>
              <w:pStyle w:val="90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905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90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614015, г. Пермь,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90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905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905"/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Арендатор: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r>
          </w:p>
          <w:p>
            <w:pPr>
              <w:pStyle w:val="905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905"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0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5386"/>
      </w:tblGrid>
      <w:tr>
        <w:tblPrEx/>
        <w:trPr/>
        <w:tc>
          <w:tcPr>
            <w:tcW w:w="4643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sz w:val="24"/>
                <w:szCs w:val="24"/>
                <w:lang w:eastAsia="ru-RU"/>
              </w:rPr>
            </w:pPr>
            <w:r/>
            <w:bookmarkStart w:id="4" w:name="P133"/>
            <w:r/>
            <w:bookmarkEnd w:id="4"/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  <w:lang w:eastAsia="ru-RU"/>
              </w:rPr>
            </w:r>
            <w:r>
              <w:rPr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40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left"/>
              <w:spacing w:line="240" w:lineRule="auto"/>
              <w:widowControl w:val="off"/>
              <w:rPr>
                <w:sz w:val="24"/>
                <w:szCs w:val="24"/>
                <w:vertAlign w:val="superscript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  <w:lang w:eastAsia="ru-RU"/>
              </w:rPr>
            </w:r>
            <w:r>
              <w:rPr>
                <w:sz w:val="24"/>
                <w:szCs w:val="24"/>
                <w:vertAlign w:val="superscript"/>
                <w:lang w:eastAsia="ru-RU"/>
              </w:rPr>
            </w:r>
          </w:p>
          <w:p>
            <w:pPr>
              <w:jc w:val="both"/>
              <w:spacing w:line="240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  <w:lang w:eastAsia="ru-RU"/>
              </w:rPr>
            </w:r>
            <w:r>
              <w:rPr>
                <w:b/>
                <w:sz w:val="24"/>
                <w:szCs w:val="24"/>
                <w:lang w:eastAsia="ru-RU"/>
              </w:rPr>
            </w:r>
          </w:p>
          <w:p>
            <w:pPr>
              <w:ind w:left="108"/>
              <w:jc w:val="both"/>
              <w:spacing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5"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709" w:right="851" w:bottom="851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contextualSpacing w:val="0"/>
        <w:jc w:val="left"/>
        <w:spacing w:before="0" w:after="0" w:line="264" w:lineRule="auto"/>
        <w:widowControl w:val="off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Style w:val="912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910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15"/>
          <w:jc w:val="center"/>
        </w:pPr>
        <w:r/>
        <w:r/>
      </w:p>
      <w:p>
        <w:pPr>
          <w:pStyle w:val="91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6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8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0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2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4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6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8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0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21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1"/>
    <w:next w:val="901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basedOn w:val="902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1"/>
    <w:next w:val="901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basedOn w:val="902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1"/>
    <w:next w:val="901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2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1"/>
    <w:next w:val="901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2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1"/>
    <w:next w:val="901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2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1"/>
    <w:next w:val="901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2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1"/>
    <w:next w:val="901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2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1"/>
    <w:next w:val="901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2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1"/>
    <w:next w:val="901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2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1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1"/>
    <w:next w:val="901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2"/>
    <w:link w:val="748"/>
    <w:uiPriority w:val="10"/>
    <w:rPr>
      <w:sz w:val="48"/>
      <w:szCs w:val="48"/>
    </w:rPr>
  </w:style>
  <w:style w:type="paragraph" w:styleId="750">
    <w:name w:val="Subtitle"/>
    <w:basedOn w:val="901"/>
    <w:next w:val="901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2"/>
    <w:link w:val="750"/>
    <w:uiPriority w:val="11"/>
    <w:rPr>
      <w:sz w:val="24"/>
      <w:szCs w:val="24"/>
    </w:rPr>
  </w:style>
  <w:style w:type="paragraph" w:styleId="752">
    <w:name w:val="Quote"/>
    <w:basedOn w:val="901"/>
    <w:next w:val="901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1"/>
    <w:next w:val="901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2"/>
    <w:link w:val="915"/>
    <w:uiPriority w:val="99"/>
  </w:style>
  <w:style w:type="character" w:styleId="757">
    <w:name w:val="Footer Char"/>
    <w:basedOn w:val="902"/>
    <w:link w:val="917"/>
    <w:uiPriority w:val="99"/>
  </w:style>
  <w:style w:type="paragraph" w:styleId="758">
    <w:name w:val="Caption"/>
    <w:basedOn w:val="901"/>
    <w:next w:val="901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902"/>
    <w:link w:val="758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 Light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9">
    <w:name w:val="List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0">
    <w:name w:val="List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1">
    <w:name w:val="List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2">
    <w:name w:val="List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3">
    <w:name w:val="List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4">
    <w:name w:val="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 &amp; 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Bordered &amp; 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Bordered &amp; 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Bordered &amp; 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Bordered &amp; 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Bordered &amp; 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character" w:styleId="886">
    <w:name w:val="Footnote Text Char"/>
    <w:link w:val="910"/>
    <w:uiPriority w:val="99"/>
    <w:rPr>
      <w:sz w:val="18"/>
    </w:rPr>
  </w:style>
  <w:style w:type="paragraph" w:styleId="887">
    <w:name w:val="endnote text"/>
    <w:basedOn w:val="901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>
    <w:name w:val="Endnote Text Char"/>
    <w:link w:val="887"/>
    <w:uiPriority w:val="99"/>
    <w:rPr>
      <w:sz w:val="20"/>
    </w:rPr>
  </w:style>
  <w:style w:type="character" w:styleId="889">
    <w:name w:val="endnote reference"/>
    <w:basedOn w:val="902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1"/>
    <w:next w:val="901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1"/>
    <w:next w:val="901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1"/>
    <w:next w:val="901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1"/>
    <w:next w:val="901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1"/>
    <w:next w:val="901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1"/>
    <w:next w:val="901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1"/>
    <w:next w:val="901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1"/>
    <w:next w:val="901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qFormat/>
  </w:style>
  <w:style w:type="character" w:styleId="902" w:default="1">
    <w:name w:val="Default Paragraph Font"/>
    <w:uiPriority w:val="1"/>
    <w:semiHidden/>
    <w:unhideWhenUsed/>
  </w:style>
  <w:style w:type="table" w:styleId="9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4" w:default="1">
    <w:name w:val="No List"/>
    <w:uiPriority w:val="99"/>
    <w:semiHidden/>
    <w:unhideWhenUsed/>
  </w:style>
  <w:style w:type="paragraph" w:styleId="90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0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7">
    <w:name w:val="Body Text Indent 2"/>
    <w:basedOn w:val="901"/>
    <w:link w:val="908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Основной текст с отступом 2 Знак"/>
    <w:basedOn w:val="902"/>
    <w:link w:val="90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09">
    <w:name w:val="Table Grid"/>
    <w:basedOn w:val="903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0">
    <w:name w:val="footnote text"/>
    <w:basedOn w:val="901"/>
    <w:link w:val="91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11" w:customStyle="1">
    <w:name w:val="Текст сноски Знак"/>
    <w:basedOn w:val="902"/>
    <w:link w:val="910"/>
    <w:uiPriority w:val="99"/>
    <w:semiHidden/>
    <w:rPr>
      <w:sz w:val="20"/>
      <w:szCs w:val="20"/>
    </w:rPr>
  </w:style>
  <w:style w:type="character" w:styleId="912">
    <w:name w:val="footnote reference"/>
    <w:semiHidden/>
    <w:unhideWhenUsed/>
    <w:rPr>
      <w:vertAlign w:val="superscript"/>
    </w:rPr>
  </w:style>
  <w:style w:type="table" w:styleId="913" w:customStyle="1">
    <w:name w:val="Сетка таблицы1"/>
    <w:basedOn w:val="903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14">
    <w:name w:val="Strong"/>
    <w:basedOn w:val="902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15">
    <w:name w:val="Header"/>
    <w:basedOn w:val="901"/>
    <w:link w:val="91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6" w:customStyle="1">
    <w:name w:val="Верхний колонтитул Знак"/>
    <w:basedOn w:val="902"/>
    <w:link w:val="915"/>
    <w:uiPriority w:val="99"/>
  </w:style>
  <w:style w:type="paragraph" w:styleId="917">
    <w:name w:val="Footer"/>
    <w:basedOn w:val="901"/>
    <w:link w:val="91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8" w:customStyle="1">
    <w:name w:val="Нижний колонтитул Знак"/>
    <w:basedOn w:val="902"/>
    <w:link w:val="917"/>
    <w:uiPriority w:val="99"/>
  </w:style>
  <w:style w:type="paragraph" w:styleId="919">
    <w:name w:val="Balloon Text"/>
    <w:basedOn w:val="901"/>
    <w:link w:val="92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0" w:customStyle="1">
    <w:name w:val="Текст выноски Знак"/>
    <w:basedOn w:val="902"/>
    <w:link w:val="919"/>
    <w:uiPriority w:val="99"/>
    <w:semiHidden/>
    <w:rPr>
      <w:rFonts w:ascii="Tahoma" w:hAnsi="Tahoma" w:cs="Tahoma"/>
      <w:sz w:val="16"/>
      <w:szCs w:val="16"/>
    </w:rPr>
  </w:style>
  <w:style w:type="paragraph" w:styleId="921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Times New Roman"/>
    <w:basedOn w:val="880"/>
    <w:qFormat/>
    <w:pPr>
      <w:contextualSpacing w:val="0"/>
      <w:ind w:left="0" w:right="0" w:firstLine="311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revision>24</cp:revision>
  <dcterms:created xsi:type="dcterms:W3CDTF">2024-03-22T04:14:00Z</dcterms:created>
  <dcterms:modified xsi:type="dcterms:W3CDTF">2026-04-23T11:34:23Z</dcterms:modified>
</cp:coreProperties>
</file>