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электронных аукционах </w:t>
      </w:r>
    </w:p>
    <w:p>
      <w:pPr>
        <w:pStyle w:val="Normal"/>
        <w:numPr>
          <w:ilvl w:val="0"/>
          <w:numId w:val="0"/>
        </w:numPr>
        <w:ind w:hanging="0" w:left="0"/>
        <w:jc w:val="center"/>
        <w:outlineLvl w:val="0"/>
        <w:rPr>
          <w:b/>
          <w:sz w:val="28"/>
          <w:szCs w:val="28"/>
        </w:rPr>
      </w:pPr>
      <w:r>
        <w:rPr>
          <w:b/>
          <w:sz w:val="28"/>
          <w:szCs w:val="28"/>
        </w:rPr>
        <w:t>на право</w:t>
      </w:r>
      <w:r>
        <w:rPr>
          <w:rFonts w:eastAsia="Droid Sans Fallback" w:cs="Lohit Devanagari"/>
          <w:b/>
          <w:color w:val="auto"/>
          <w:sz w:val="28"/>
          <w:szCs w:val="28"/>
          <w:lang w:val="ru-RU" w:eastAsia="ru-RU" w:bidi="ar-SA"/>
        </w:rPr>
        <w:t xml:space="preserve"> заключения договоров аренды  зем</w:t>
      </w:r>
      <w:r>
        <w:rPr>
          <w:b/>
          <w:sz w:val="28"/>
          <w:szCs w:val="28"/>
        </w:rPr>
        <w:t>ельных участков</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кабинет 2                      </w:t>
        <w:tab/>
        <w:t xml:space="preserve">                               </w:t>
      </w:r>
      <w:r>
        <w:rPr>
          <w:sz w:val="28"/>
          <w:szCs w:val="28"/>
        </w:rPr>
        <w:t>13</w:t>
      </w:r>
      <w:r>
        <w:rPr>
          <w:sz w:val="28"/>
          <w:szCs w:val="28"/>
        </w:rPr>
        <w:t xml:space="preserve">.05.2026 </w:t>
      </w:r>
    </w:p>
    <w:p>
      <w:pPr>
        <w:pStyle w:val="Normal"/>
        <w:jc w:val="both"/>
        <w:rPr>
          <w:sz w:val="28"/>
          <w:szCs w:val="28"/>
        </w:rPr>
      </w:pPr>
      <w:r>
        <w:rPr>
          <w:sz w:val="28"/>
          <w:szCs w:val="28"/>
        </w:rPr>
      </w:r>
    </w:p>
    <w:p>
      <w:pPr>
        <w:pStyle w:val="Normal"/>
        <w:tabs>
          <w:tab w:val="clear" w:pos="708"/>
          <w:tab w:val="left" w:pos="2805" w:leader="none"/>
        </w:tabs>
        <w:spacing w:lineRule="auto" w:line="276"/>
        <w:ind w:firstLine="720"/>
        <w:jc w:val="both"/>
        <w:rPr>
          <w:highlight w:val="white"/>
        </w:rPr>
      </w:pPr>
      <w:r>
        <w:rPr>
          <w:sz w:val="28"/>
          <w:szCs w:val="28"/>
          <w:highlight w:val="white"/>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highlight w:val="white"/>
        </w:rPr>
      </w:pPr>
      <w:r>
        <w:rPr>
          <w:sz w:val="28"/>
          <w:szCs w:val="28"/>
          <w:highlight w:val="white"/>
        </w:rPr>
        <w:t xml:space="preserve">             </w:t>
      </w:r>
    </w:p>
    <w:p>
      <w:pPr>
        <w:pStyle w:val="Normal"/>
        <w:widowControl/>
        <w:spacing w:lineRule="auto" w:line="276" w:before="0" w:after="120"/>
        <w:ind w:hanging="3000" w:left="3000" w:right="0"/>
        <w:jc w:val="both"/>
        <w:rPr>
          <w:highlight w:val="white"/>
        </w:rPr>
      </w:pPr>
      <w:r>
        <w:rPr>
          <w:sz w:val="28"/>
          <w:szCs w:val="28"/>
          <w:highlight w:val="white"/>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680" w:left="4680" w:right="0"/>
        <w:jc w:val="both"/>
        <w:rPr>
          <w:highlight w:val="white"/>
        </w:rPr>
      </w:pPr>
      <w:r>
        <w:rPr>
          <w:sz w:val="28"/>
          <w:szCs w:val="28"/>
          <w:highlight w:val="white"/>
          <w:lang w:eastAsia="en-US"/>
        </w:rPr>
        <w:t xml:space="preserve">Заместитель председателя комиссии: </w:t>
      </w:r>
      <w:r>
        <w:rPr>
          <w:rFonts w:eastAsia="Droid Sans Fallback" w:cs="Lohit Devanagari"/>
          <w:color w:val="auto"/>
          <w:sz w:val="28"/>
          <w:szCs w:val="28"/>
          <w:highlight w:val="white"/>
          <w:lang w:val="ru-RU" w:eastAsia="en-US" w:bidi="ar-SA"/>
        </w:rPr>
        <w:t>Шафранова Е.П.,</w:t>
      </w:r>
      <w:r>
        <w:rPr>
          <w:sz w:val="28"/>
          <w:szCs w:val="28"/>
          <w:highlight w:val="white"/>
          <w:lang w:eastAsia="en-US"/>
        </w:rPr>
        <w:t xml:space="preserve">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highlight w:val="white"/>
          <w:lang w:val="ru-RU" w:eastAsia="en-US" w:bidi="ar-SA"/>
        </w:rPr>
        <w:t>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r>
        <w:rPr>
          <w:sz w:val="28"/>
          <w:szCs w:val="28"/>
          <w:highlight w:val="white"/>
          <w:lang w:eastAsia="en-US"/>
        </w:rPr>
        <w:t xml:space="preserve"> </w:t>
      </w:r>
    </w:p>
    <w:p>
      <w:pPr>
        <w:pStyle w:val="Normal"/>
        <w:widowControl/>
        <w:tabs>
          <w:tab w:val="clear" w:pos="708"/>
          <w:tab w:val="left" w:pos="2490" w:leader="none"/>
        </w:tabs>
        <w:suppressAutoHyphens w:val="true"/>
        <w:bidi w:val="0"/>
        <w:spacing w:lineRule="auto" w:line="276" w:before="0" w:after="0"/>
        <w:ind w:hanging="2494" w:left="2494" w:right="0"/>
        <w:jc w:val="both"/>
        <w:rPr/>
      </w:pPr>
      <w:r>
        <w:rPr>
          <w:rFonts w:eastAsia="Droid Sans Fallback" w:cs="Lohit Devanagari"/>
          <w:color w:val="000000"/>
          <w:sz w:val="28"/>
          <w:szCs w:val="28"/>
          <w:highlight w:val="white"/>
          <w:shd w:fill="auto" w:val="clear"/>
          <w:lang w:val="ru-RU" w:eastAsia="ru-RU" w:bidi="ar-SA"/>
        </w:rPr>
        <w:t>Члены комиссии: Девятерикова И.Н., и.о. заместителя начальника отдела сопровождения договоров департамента земельных отношений администрации города Перми;</w:t>
      </w:r>
    </w:p>
    <w:p>
      <w:pPr>
        <w:pStyle w:val="Normal"/>
        <w:widowControl/>
        <w:spacing w:lineRule="auto" w:line="276" w:before="0" w:after="0"/>
        <w:ind w:hanging="0" w:left="2160" w:right="0"/>
        <w:jc w:val="both"/>
        <w:rPr>
          <w:rFonts w:ascii="Times New Roman" w:hAnsi="Times New Roman" w:eastAsia="Droid Sans Fallback" w:cs="Lohit Devanagari"/>
          <w:sz w:val="28"/>
          <w:szCs w:val="28"/>
          <w:lang w:val="ru-RU" w:eastAsia="en-US" w:bidi="ar-SA"/>
        </w:rPr>
      </w:pPr>
      <w:r>
        <w:rPr>
          <w:rFonts w:eastAsia="Droid Sans Fallback" w:cs="Lohit Devanagari"/>
          <w:sz w:val="28"/>
          <w:szCs w:val="28"/>
          <w:lang w:val="ru-RU" w:eastAsia="en-US" w:bidi="ar-SA"/>
        </w:rPr>
      </w:r>
    </w:p>
    <w:p>
      <w:pPr>
        <w:pStyle w:val="Normal"/>
        <w:spacing w:lineRule="auto" w:line="276" w:before="0" w:after="0"/>
        <w:ind w:hanging="0" w:left="0" w:right="0"/>
        <w:jc w:val="both"/>
        <w:rPr/>
      </w:pPr>
      <w:r>
        <w:rPr>
          <w:sz w:val="28"/>
          <w:szCs w:val="28"/>
        </w:rPr>
        <w:t xml:space="preserve">рассмотрев заявки на </w:t>
      </w:r>
      <w:r>
        <w:rPr>
          <w:rFonts w:eastAsia="Droid Sans Fallback" w:cs="Lohit Devanagari"/>
          <w:color w:val="auto"/>
          <w:sz w:val="28"/>
          <w:szCs w:val="28"/>
          <w:lang w:val="ru-RU" w:eastAsia="ru-RU" w:bidi="ar-SA"/>
        </w:rPr>
        <w:t xml:space="preserve">участие в электронных аукционах, назначенных                           на </w:t>
      </w:r>
      <w:r>
        <w:rPr>
          <w:rFonts w:eastAsia="Droid Sans Fallback" w:cs="Lohit Devanagari"/>
          <w:color w:val="auto"/>
          <w:sz w:val="28"/>
          <w:szCs w:val="28"/>
          <w:lang w:val="ru-RU" w:eastAsia="ru-RU" w:bidi="ar-SA"/>
        </w:rPr>
        <w:t>14</w:t>
      </w:r>
      <w:r>
        <w:rPr>
          <w:rFonts w:eastAsia="Droid Sans Fallback" w:cs="Lohit Devanagari"/>
          <w:color w:val="auto"/>
          <w:sz w:val="28"/>
          <w:szCs w:val="28"/>
          <w:lang w:val="ru-RU" w:eastAsia="ru-RU" w:bidi="ar-SA"/>
        </w:rPr>
        <w:t xml:space="preserve">.05.2026 (процедура </w:t>
      </w:r>
      <w:r>
        <w:rPr>
          <w:rFonts w:eastAsia="Droid Sans Fallback" w:cs="Lohit Devanagari"/>
          <w:color w:val="auto"/>
          <w:kern w:val="0"/>
          <w:sz w:val="28"/>
          <w:szCs w:val="28"/>
          <w:lang w:val="ru-RU" w:eastAsia="ru-RU" w:bidi="ar-SA"/>
        </w:rPr>
        <w:t>№ SBR012-2604060015), реш</w:t>
      </w:r>
      <w:r>
        <w:rPr>
          <w:rFonts w:eastAsia="Droid Sans Fallback" w:cs="Lohit Devanagari"/>
          <w:color w:val="auto"/>
          <w:sz w:val="28"/>
          <w:szCs w:val="28"/>
          <w:lang w:val="ru-RU" w:eastAsia="ru-RU" w:bidi="ar-SA"/>
        </w:rPr>
        <w:t>ила:</w:t>
      </w:r>
    </w:p>
    <w:p>
      <w:pPr>
        <w:pStyle w:val="Normal"/>
        <w:spacing w:lineRule="auto" w:line="276" w:before="0" w:after="0"/>
        <w:ind w:hanging="0" w:left="0"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themeColor="text1" w:val="000000"/>
        </w:rPr>
      </w:pPr>
      <w:r>
        <w:rPr>
          <w:b/>
          <w:sz w:val="28"/>
          <w:szCs w:val="28"/>
        </w:rPr>
        <w:t>Лот № 1</w:t>
      </w:r>
      <w:r>
        <w:rPr>
          <w:b/>
        </w:rPr>
        <w:t xml:space="preserve"> </w:t>
      </w:r>
      <w:r>
        <w:rPr>
          <w:rFonts w:eastAsia="Droid Sans Fallback" w:cs="Lohit Devanagari"/>
          <w:b w:val="false"/>
          <w:bCs w:val="false"/>
          <w:color w:val="auto"/>
          <w:sz w:val="28"/>
          <w:szCs w:val="28"/>
          <w:lang w:val="ru-RU" w:eastAsia="ru-RU" w:bidi="ar-SA"/>
        </w:rPr>
        <w:t>– п</w:t>
      </w:r>
      <w:r>
        <w:rPr>
          <w:rFonts w:eastAsia="Times New Roman" w:cs="Times New Roman"/>
          <w:b w:val="false"/>
          <w:bCs w:val="false"/>
          <w:i w:val="false"/>
          <w:iCs w:val="false"/>
          <w:caps w:val="false"/>
          <w:smallCaps w:val="false"/>
          <w:color w:themeColor="text1" w:val="000000"/>
          <w:sz w:val="28"/>
          <w:szCs w:val="28"/>
        </w:rPr>
        <w:t>рав</w:t>
      </w:r>
      <w:r>
        <w:rPr>
          <w:rFonts w:eastAsia="Times New Roman" w:cs="Times New Roman"/>
          <w:b w:val="false"/>
          <w:bCs w:val="false"/>
          <w:i w:val="false"/>
          <w:iCs w:val="false"/>
          <w:caps w:val="false"/>
          <w:smallCaps w:val="false"/>
          <w:color w:themeColor="text1" w:val="000000"/>
          <w:sz w:val="28"/>
          <w:szCs w:val="28"/>
          <w:lang w:val="ru-RU" w:eastAsia="ru-RU" w:bidi="ar-SA"/>
        </w:rPr>
        <w:t xml:space="preserve">о </w:t>
      </w:r>
      <w:r>
        <w:rPr>
          <w:rFonts w:eastAsia="Times New Roman" w:cs="Times New Roman"/>
          <w:b w:val="false"/>
          <w:bCs w:val="false"/>
          <w:i w:val="false"/>
          <w:iCs w:val="false"/>
          <w:caps w:val="false"/>
          <w:smallCaps w:val="false"/>
          <w:color w:themeColor="text1" w:val="000000"/>
          <w:kern w:val="0"/>
          <w:sz w:val="28"/>
          <w:szCs w:val="28"/>
          <w:lang w:val="ru-RU" w:eastAsia="ru-RU" w:bidi="ar-SA"/>
        </w:rPr>
        <w:t>заключения договора аренды земельного участка, государственная собственность на который не разграничена, с кадастровым номером 59:01:5110081:144 площадью 819 кв. м, расположенного по адресу: Российская Федерация, Пермский край, городской округ Пермский, город Пермь, микрорайон Новые Ляды, улица Покрышкина, з/у 2д,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themeColor="text1" w:val="000000"/>
        </w:rPr>
      </w:pPr>
      <w:r>
        <w:rPr>
          <w:rFonts w:eastAsia="Times New Roman" w:cs="Times New Roman"/>
          <w:b w:val="false"/>
          <w:bCs w:val="false"/>
          <w:i w:val="false"/>
          <w:iCs w:val="false"/>
          <w:caps w:val="false"/>
          <w:smallCaps w:val="false"/>
          <w:color w:themeColor="text1" w:val="000000"/>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735"/>
        <w:gridCol w:w="2429"/>
        <w:gridCol w:w="2341"/>
        <w:gridCol w:w="2415"/>
        <w:gridCol w:w="2001"/>
      </w:tblGrid>
      <w:tr>
        <w:trPr/>
        <w:tc>
          <w:tcPr>
            <w:tcW w:w="735"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29"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Номер заявки</w:t>
            </w:r>
          </w:p>
        </w:tc>
        <w:tc>
          <w:tcPr>
            <w:tcW w:w="2341"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Дата и время подачи заявки</w:t>
            </w:r>
          </w:p>
        </w:tc>
        <w:tc>
          <w:tcPr>
            <w:tcW w:w="2415"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Сведения о внесенном задатке</w:t>
            </w:r>
          </w:p>
        </w:tc>
        <w:tc>
          <w:tcPr>
            <w:tcW w:w="20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Решение комиссии</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1</w:t>
            </w:r>
          </w:p>
        </w:tc>
        <w:tc>
          <w:tcPr>
            <w:tcW w:w="24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3288</w:t>
            </w:r>
          </w:p>
        </w:tc>
        <w:tc>
          <w:tcPr>
            <w:tcW w:w="23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28.04.2026 07:48</w:t>
            </w:r>
          </w:p>
        </w:tc>
        <w:tc>
          <w:tcPr>
            <w:tcW w:w="241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83 350,00</w:t>
            </w:r>
          </w:p>
        </w:tc>
        <w:tc>
          <w:tcPr>
            <w:tcW w:w="200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2</w:t>
            </w:r>
          </w:p>
        </w:tc>
        <w:tc>
          <w:tcPr>
            <w:tcW w:w="24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1465</w:t>
            </w:r>
          </w:p>
        </w:tc>
        <w:tc>
          <w:tcPr>
            <w:tcW w:w="23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12.05.2026 11:50</w:t>
            </w:r>
          </w:p>
        </w:tc>
        <w:tc>
          <w:tcPr>
            <w:tcW w:w="241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83 350,00</w:t>
            </w:r>
          </w:p>
        </w:tc>
        <w:tc>
          <w:tcPr>
            <w:tcW w:w="200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3</w:t>
            </w:r>
          </w:p>
        </w:tc>
        <w:tc>
          <w:tcPr>
            <w:tcW w:w="24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9966</w:t>
            </w:r>
          </w:p>
        </w:tc>
        <w:tc>
          <w:tcPr>
            <w:tcW w:w="23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12.05.2026 15:42</w:t>
            </w:r>
          </w:p>
        </w:tc>
        <w:tc>
          <w:tcPr>
            <w:tcW w:w="241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83 350,00</w:t>
            </w:r>
          </w:p>
        </w:tc>
        <w:tc>
          <w:tcPr>
            <w:tcW w:w="200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4</w:t>
            </w:r>
          </w:p>
        </w:tc>
        <w:tc>
          <w:tcPr>
            <w:tcW w:w="24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4458</w:t>
            </w:r>
          </w:p>
        </w:tc>
        <w:tc>
          <w:tcPr>
            <w:tcW w:w="23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12.05.2026 15:54</w:t>
            </w:r>
          </w:p>
        </w:tc>
        <w:tc>
          <w:tcPr>
            <w:tcW w:w="241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83 350,00</w:t>
            </w:r>
          </w:p>
        </w:tc>
        <w:tc>
          <w:tcPr>
            <w:tcW w:w="200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jc w:val="both"/>
        <w:rPr>
          <w:sz w:val="28"/>
          <w:szCs w:val="28"/>
        </w:rPr>
      </w:pPr>
      <w:r>
        <w:rPr>
          <w:sz w:val="28"/>
          <w:szCs w:val="28"/>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themeColor="text1" w:val="000000"/>
        </w:rPr>
      </w:pPr>
      <w:r>
        <w:rPr>
          <w:rFonts w:eastAsia="Droid Sans Fallback" w:cs="Lohit Devanagari"/>
          <w:b/>
          <w:color w:val="auto"/>
          <w:sz w:val="28"/>
          <w:szCs w:val="28"/>
          <w:lang w:val="ru-RU" w:eastAsia="ru-RU" w:bidi="ar-SA"/>
        </w:rPr>
        <w:t>Лот № 2</w:t>
      </w:r>
      <w:r>
        <w:rPr>
          <w:rFonts w:eastAsia="Droid Sans Fallback" w:cs="Lohit Devanagari"/>
          <w:b/>
          <w:color w:val="auto"/>
          <w:lang w:val="ru-RU" w:eastAsia="ru-RU" w:bidi="ar-SA"/>
        </w:rPr>
        <w:t xml:space="preserve"> </w:t>
      </w:r>
      <w:r>
        <w:rPr>
          <w:rFonts w:eastAsia="Droid Sans Fallback" w:cs="Lohit Devanagari"/>
          <w:b w:val="false"/>
          <w:bCs w:val="false"/>
          <w:color w:val="auto"/>
          <w:sz w:val="28"/>
          <w:szCs w:val="28"/>
          <w:lang w:val="ru-RU" w:eastAsia="ru-RU" w:bidi="ar-SA"/>
        </w:rPr>
        <w:t>– п</w:t>
      </w:r>
      <w:r>
        <w:rPr>
          <w:rFonts w:eastAsia="Times New Roman" w:cs="Times New Roman"/>
          <w:b w:val="false"/>
          <w:bCs w:val="false"/>
          <w:i w:val="false"/>
          <w:iCs w:val="false"/>
          <w:caps w:val="false"/>
          <w:smallCaps w:val="false"/>
          <w:color w:themeColor="text1" w:val="000000"/>
          <w:sz w:val="28"/>
          <w:szCs w:val="28"/>
          <w:lang w:val="ru-RU" w:eastAsia="ru-RU" w:bidi="ar-SA"/>
        </w:rPr>
        <w:t>раво</w:t>
      </w:r>
      <w:r>
        <w:rPr>
          <w:rFonts w:eastAsia="Times New Roman" w:cs="Times New Roman"/>
          <w:b w:val="false"/>
          <w:bCs w:val="false"/>
          <w:i w:val="false"/>
          <w:iCs w:val="false"/>
          <w:caps w:val="false"/>
          <w:smallCaps w:val="false"/>
          <w:color w:themeColor="text1" w:val="000000"/>
          <w:kern w:val="0"/>
          <w:sz w:val="28"/>
          <w:szCs w:val="28"/>
          <w:lang w:val="ru-RU" w:eastAsia="ru-RU" w:bidi="ar-SA"/>
        </w:rPr>
        <w:t xml:space="preserve"> заключения договора аренды земельного участка, государственная собственность на который не разграничена, с кадастровым номером 59:01:3812828:131 площадью 591 кв. м, расположенного по адресу: Российская Федерация, Пермский край, городской округ Пермский, город Пермь, улица Новогодняя, з/у 2д,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themeColor="text1" w:val="000000"/>
        </w:rPr>
      </w:pPr>
      <w:r>
        <w:rPr>
          <w:rFonts w:eastAsia="Times New Roman" w:cs="Times New Roman"/>
          <w:b w:val="false"/>
          <w:bCs w:val="false"/>
          <w:i w:val="false"/>
          <w:iCs w:val="false"/>
          <w:caps w:val="false"/>
          <w:smallCaps w:val="false"/>
          <w:color w:themeColor="text1" w:val="000000"/>
        </w:rPr>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735"/>
        <w:gridCol w:w="2429"/>
        <w:gridCol w:w="2341"/>
        <w:gridCol w:w="2415"/>
        <w:gridCol w:w="2001"/>
      </w:tblGrid>
      <w:tr>
        <w:trPr/>
        <w:tc>
          <w:tcPr>
            <w:tcW w:w="735"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29"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Номер заявки</w:t>
            </w:r>
          </w:p>
        </w:tc>
        <w:tc>
          <w:tcPr>
            <w:tcW w:w="2341"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Дата и время подачи заявки</w:t>
            </w:r>
          </w:p>
        </w:tc>
        <w:tc>
          <w:tcPr>
            <w:tcW w:w="2415" w:type="dxa"/>
            <w:tcBorders>
              <w:top w:val="single" w:sz="4" w:space="0" w:color="000000"/>
              <w:left w:val="single" w:sz="4" w:space="0" w:color="000000"/>
              <w:bottom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Сведения о внесенном задатке</w:t>
            </w:r>
          </w:p>
        </w:tc>
        <w:tc>
          <w:tcPr>
            <w:tcW w:w="20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Droid Sans Fallback" w:cs="Lohit Devanagari"/>
                <w:b w:val="false"/>
                <w:bCs w:val="false"/>
                <w:color w:val="auto"/>
                <w:sz w:val="28"/>
                <w:szCs w:val="28"/>
                <w:lang w:val="ru-RU" w:eastAsia="ru-RU" w:bidi="ar-SA"/>
              </w:rPr>
            </w:pPr>
            <w:r>
              <w:rPr>
                <w:rFonts w:eastAsia="Droid Sans Fallback" w:cs="Lohit Devanagari"/>
                <w:b w:val="false"/>
                <w:bCs w:val="false"/>
                <w:color w:val="auto"/>
                <w:sz w:val="28"/>
                <w:szCs w:val="28"/>
                <w:lang w:val="ru-RU" w:eastAsia="ru-RU" w:bidi="ar-SA"/>
              </w:rPr>
              <w:t>Решение комиссии</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1</w:t>
            </w:r>
          </w:p>
        </w:tc>
        <w:tc>
          <w:tcPr>
            <w:tcW w:w="24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8177</w:t>
            </w:r>
          </w:p>
        </w:tc>
        <w:tc>
          <w:tcPr>
            <w:tcW w:w="23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16.04.2026 10:13</w:t>
            </w:r>
          </w:p>
        </w:tc>
        <w:tc>
          <w:tcPr>
            <w:tcW w:w="241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74 500,00</w:t>
            </w:r>
          </w:p>
        </w:tc>
        <w:tc>
          <w:tcPr>
            <w:tcW w:w="200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2</w:t>
            </w:r>
          </w:p>
        </w:tc>
        <w:tc>
          <w:tcPr>
            <w:tcW w:w="2429"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1079</w:t>
            </w:r>
          </w:p>
        </w:tc>
        <w:tc>
          <w:tcPr>
            <w:tcW w:w="2341"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07.05.2026 15:31</w:t>
            </w:r>
          </w:p>
        </w:tc>
        <w:tc>
          <w:tcPr>
            <w:tcW w:w="2415" w:type="dxa"/>
            <w:tcBorders>
              <w:left w:val="single" w:sz="4" w:space="0" w:color="000000"/>
              <w:bottom w:val="single" w:sz="4" w:space="0" w:color="000000"/>
            </w:tcBorders>
          </w:tcPr>
          <w:p>
            <w:pPr>
              <w:pStyle w:val="Normal"/>
              <w:widowControl/>
              <w:spacing w:before="0" w:after="0"/>
              <w:jc w:val="center"/>
              <w:rPr>
                <w:rFonts w:ascii="Times New Roman" w:hAnsi="Times New Roman" w:eastAsia="Droid Sans Fallback" w:cs="Lohit Devanagari"/>
                <w:b w:val="false"/>
                <w:bCs w:val="false"/>
                <w:color w:val="auto"/>
                <w:kern w:val="0"/>
                <w:sz w:val="28"/>
                <w:szCs w:val="28"/>
                <w:lang w:val="ru-RU" w:eastAsia="ru-RU" w:bidi="ar-SA"/>
              </w:rPr>
            </w:pPr>
            <w:r>
              <w:rPr>
                <w:rFonts w:eastAsia="Droid Sans Fallback" w:cs="Lohit Devanagari"/>
                <w:b w:val="false"/>
                <w:bCs w:val="false"/>
                <w:color w:val="auto"/>
                <w:kern w:val="0"/>
                <w:sz w:val="28"/>
                <w:szCs w:val="28"/>
                <w:lang w:val="ru-RU" w:eastAsia="ru-RU" w:bidi="ar-SA"/>
              </w:rPr>
              <w:t>74 500,00</w:t>
            </w:r>
          </w:p>
        </w:tc>
        <w:tc>
          <w:tcPr>
            <w:tcW w:w="2001"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jc w:val="both"/>
        <w:rPr>
          <w:sz w:val="28"/>
          <w:szCs w:val="28"/>
        </w:rPr>
      </w:pPr>
      <w:r>
        <w:rPr>
          <w:sz w:val="28"/>
          <w:szCs w:val="28"/>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themeColor="text1" w:val="000000"/>
        </w:rPr>
      </w:pPr>
      <w:r>
        <w:rPr>
          <w:rFonts w:eastAsia="Droid Sans Fallback" w:cs="Lohit Devanagari"/>
          <w:b/>
          <w:bCs w:val="false"/>
          <w:i w:val="false"/>
          <w:iCs w:val="false"/>
          <w:caps w:val="false"/>
          <w:smallCaps w:val="false"/>
          <w:color w:val="auto"/>
          <w:kern w:val="0"/>
          <w:sz w:val="28"/>
          <w:szCs w:val="28"/>
          <w:lang w:val="ru-RU" w:eastAsia="ru-RU" w:bidi="ar-SA"/>
        </w:rPr>
        <w:t xml:space="preserve">Лот № </w:t>
      </w:r>
      <w:r>
        <w:rPr>
          <w:rFonts w:eastAsia="Droid Sans Fallback" w:cs="Lohit Devanagari"/>
          <w:b/>
          <w:bCs w:val="false"/>
          <w:i w:val="false"/>
          <w:iCs w:val="false"/>
          <w:caps w:val="false"/>
          <w:smallCaps w:val="false"/>
          <w:color w:val="auto"/>
          <w:kern w:val="0"/>
          <w:sz w:val="28"/>
          <w:szCs w:val="28"/>
          <w:lang w:val="ru-RU" w:eastAsia="ru-RU" w:bidi="ar-SA"/>
        </w:rPr>
        <w:t>3</w:t>
      </w:r>
      <w:r>
        <w:rPr>
          <w:rFonts w:eastAsia="Droid Sans Fallback" w:cs="Lohit Devanagari"/>
          <w:b/>
          <w:bCs w:val="false"/>
          <w:i w:val="false"/>
          <w:iCs w:val="false"/>
          <w:caps w:val="false"/>
          <w:smallCaps w:val="false"/>
          <w:color w:val="auto"/>
          <w:kern w:val="0"/>
          <w:sz w:val="28"/>
          <w:szCs w:val="28"/>
          <w:lang w:val="ru-RU" w:eastAsia="ru-RU" w:bidi="ar-SA"/>
        </w:rPr>
        <w:t xml:space="preserve"> </w:t>
      </w:r>
      <w:r>
        <w:rPr>
          <w:rFonts w:eastAsia="Droid Sans Fallback" w:cs="Lohit Devanagari"/>
          <w:b w:val="false"/>
          <w:bCs w:val="false"/>
          <w:i w:val="false"/>
          <w:iCs w:val="false"/>
          <w:caps w:val="false"/>
          <w:smallCaps w:val="false"/>
          <w:color w:val="auto"/>
          <w:kern w:val="0"/>
          <w:sz w:val="28"/>
          <w:szCs w:val="28"/>
          <w:lang w:val="ru-RU" w:eastAsia="ru-RU" w:bidi="ar-SA"/>
        </w:rPr>
        <w:t>– п</w:t>
      </w:r>
      <w:r>
        <w:rPr>
          <w:rFonts w:eastAsia="Times New Roman" w:cs="Times New Roman"/>
          <w:b w:val="false"/>
          <w:bCs w:val="false"/>
          <w:i w:val="false"/>
          <w:iCs w:val="false"/>
          <w:caps w:val="false"/>
          <w:smallCaps w:val="false"/>
          <w:color w:themeColor="text1" w:val="000000"/>
          <w:kern w:val="0"/>
          <w:sz w:val="28"/>
          <w:szCs w:val="28"/>
          <w:lang w:val="ru-RU" w:eastAsia="ru-RU" w:bidi="ar-SA"/>
        </w:rPr>
        <w:t>раво  заключения договора аренды земельного участка, находящегося в муниципальной собственности, с кадастровым номером 59:01:3610013:147 площадью 563 кв. м, расположенного по адресу: Российская Федерация, Пермский край, городской округ Пермский, город Пермь, переулок Клубный,             з/у 16б, для индивидуального жилищного строительства. Разрешенное использование земельного участка – для индивидуального жилищного строительства.</w:t>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37"/>
        <w:gridCol w:w="2259"/>
        <w:gridCol w:w="2259"/>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Единственный заявитель,</w:t>
            </w:r>
          </w:p>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номер заявки</w:t>
            </w:r>
          </w:p>
        </w:tc>
        <w:tc>
          <w:tcPr>
            <w:tcW w:w="2337"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Сведения               о внесенном задатке</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Муслядинова Юлия Мустафаевна,</w:t>
            </w:r>
          </w:p>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4331</w:t>
            </w:r>
          </w:p>
        </w:tc>
        <w:tc>
          <w:tcPr>
            <w:tcW w:w="2337"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11.05.2026 19:01</w:t>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themeColor="text1" w:val="000000"/>
                <w:kern w:val="0"/>
                <w:sz w:val="28"/>
                <w:szCs w:val="28"/>
                <w:lang w:val="ru-RU" w:eastAsia="ru-RU" w:bidi="ar-SA"/>
              </w:rPr>
            </w:pPr>
            <w:r>
              <w:rPr>
                <w:rFonts w:eastAsia="Times New Roman" w:cs="Times New Roman"/>
                <w:b w:val="false"/>
                <w:bCs w:val="false"/>
                <w:i w:val="false"/>
                <w:iCs w:val="false"/>
                <w:caps w:val="false"/>
                <w:smallCaps w:val="false"/>
                <w:color w:themeColor="text1" w:val="000000"/>
                <w:kern w:val="0"/>
                <w:sz w:val="28"/>
                <w:szCs w:val="28"/>
                <w:lang w:val="ru-RU" w:eastAsia="ru-RU" w:bidi="ar-SA"/>
              </w:rPr>
              <w:t>70 950,00</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Times New Roman" w:cs="Times New Roman"/>
                <w:b w:val="false"/>
                <w:bCs w:val="false"/>
                <w:i w:val="false"/>
                <w:i w:val="false"/>
                <w:iCs w:val="false"/>
                <w:caps w:val="false"/>
                <w:smallCaps w:val="false"/>
                <w:color w:themeColor="text1" w:val="000000"/>
                <w:sz w:val="28"/>
                <w:szCs w:val="28"/>
                <w:lang w:val="ru-RU" w:eastAsia="ru-RU" w:bidi="ar-SA"/>
              </w:rPr>
            </w:pPr>
            <w:r>
              <w:rPr>
                <w:rFonts w:eastAsia="Times New Roman" w:cs="Times New Roman"/>
                <w:b w:val="false"/>
                <w:bCs w:val="false"/>
                <w:i w:val="false"/>
                <w:iCs w:val="false"/>
                <w:caps w:val="false"/>
                <w:smallCaps w:val="false"/>
                <w:color w:themeColor="text1" w:val="000000"/>
                <w:sz w:val="28"/>
                <w:szCs w:val="28"/>
                <w:lang w:val="ru-RU" w:eastAsia="ru-RU" w:bidi="ar-SA"/>
              </w:rPr>
              <w:t>Допустить                к участию                 в аукционе              и признать участником аукциона</w:t>
            </w:r>
          </w:p>
        </w:tc>
      </w:tr>
    </w:tbl>
    <w:p>
      <w:pPr>
        <w:pStyle w:val="Normal"/>
        <w:spacing w:lineRule="auto" w:line="240"/>
        <w:ind w:hanging="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3</w:t>
      </w:r>
      <w:r>
        <w:rPr>
          <w:rFonts w:eastAsia="Times New Roman" w:cs="Times New Roman"/>
          <w:b/>
          <w:bCs/>
          <w:i w:val="false"/>
          <w:iCs w:val="false"/>
          <w:caps w:val="false"/>
          <w:smallCaps w:val="false"/>
          <w:color w:val="000000"/>
          <w:sz w:val="28"/>
          <w:szCs w:val="28"/>
        </w:rPr>
        <w:t xml:space="preserve">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w:t>
      </w:r>
      <w:r>
        <w:rPr>
          <w:rFonts w:eastAsia="Droid Sans Fallback" w:cs="Lohit Devanagari"/>
          <w:b/>
          <w:color w:val="000000"/>
          <w:kern w:val="0"/>
          <w:sz w:val="28"/>
          <w:szCs w:val="28"/>
          <w:lang w:val="ru-RU" w:eastAsia="ru-RU" w:bidi="ar-SA"/>
        </w:rPr>
        <w:t>№ 3 (переулок Клубный, з/у 16б) – 141 900,00 руб.</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b w:val="false"/>
          <w:bCs w:val="false"/>
          <w:i w:val="false"/>
          <w:iCs w:val="false"/>
          <w:caps w:val="false"/>
          <w:smallCaps w:val="false"/>
          <w:color w:val="auto"/>
          <w:kern w:val="0"/>
          <w:sz w:val="28"/>
          <w:szCs w:val="28"/>
          <w:highlight w:val="white"/>
          <w:lang w:val="ru-RU" w:eastAsia="ru-RU" w:bidi="ar-SA"/>
        </w:rPr>
        <w:t>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sz w:val="28"/>
          <w:szCs w:val="28"/>
          <w:highlight w:val="white"/>
        </w:rPr>
      </w:r>
    </w:p>
    <w:p>
      <w:pPr>
        <w:pStyle w:val="Normal"/>
        <w:jc w:val="both"/>
        <w:rPr>
          <w:sz w:val="28"/>
          <w:szCs w:val="28"/>
          <w:highlight w:val="none"/>
        </w:rPr>
      </w:pPr>
      <w:r>
        <w:rPr>
          <w:sz w:val="28"/>
          <w:szCs w:val="28"/>
        </w:rPr>
      </w:r>
    </w:p>
    <w:p>
      <w:pPr>
        <w:pStyle w:val="Normal"/>
        <w:jc w:val="both"/>
        <w:rPr>
          <w:sz w:val="28"/>
          <w:szCs w:val="28"/>
          <w:highlight w:val="non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w:t>
      </w:r>
      <w:r>
        <w:rPr>
          <w:rFonts w:eastAsia="Droid Sans Fallback" w:cs="Lohit Devanagari"/>
          <w:color w:val="auto"/>
          <w:sz w:val="28"/>
          <w:szCs w:val="28"/>
          <w:lang w:val="ru-RU" w:eastAsia="en-US" w:bidi="ar-SA"/>
        </w:rPr>
        <w:t>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ind w:hanging="5610" w:left="5610"/>
        <w:rPr>
          <w:sz w:val="28"/>
          <w:szCs w:val="28"/>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highlight w:val="white"/>
          <w:shd w:fill="auto" w:val="clear"/>
          <w:lang w:val="ru-RU" w:eastAsia="en-US" w:bidi="ar-SA"/>
        </w:rPr>
        <w:t xml:space="preserve">Члены комиссии </w:t>
        <w:tab/>
        <w:tab/>
        <w:tab/>
        <w:tab/>
        <w:tab/>
        <w:tab/>
        <w:tab/>
        <w:tab/>
        <w:t xml:space="preserve">      И.Н. Девятерикова</w:t>
      </w:r>
    </w:p>
    <w:sectPr>
      <w:headerReference w:type="default" r:id="rId2"/>
      <w:footerReference w:type="even" r:id="rId3"/>
      <w:footerReference w:type="default" r:id="rId4"/>
      <w:footerReference w:type="first" r:id="rId5"/>
      <w:type w:val="nextPage"/>
      <w:pgSz w:w="11906" w:h="16838"/>
      <w:pgMar w:left="1418" w:right="567" w:gutter="0" w:header="0" w:top="786" w:footer="709" w:bottom="766"/>
      <w:pgNumType w:start="2"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36360" rIns="36360" tIns="-20880" bIns="-2088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36360" rIns="36360" tIns="-20880" bIns="-2088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85725" cy="246380"/>
              <wp:effectExtent l="0" t="0" r="0" b="0"/>
              <wp:wrapSquare wrapText="bothSides"/>
              <wp:docPr id="3" name="Врезка1"/>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fillRef idx="0"/>
                      <a:effectRef idx="0"/>
                      <a:fontRef idx="minor"/>
                    </wps:style>
                    <wps:txbx>
                      <w:txbxContent>
                        <w:p>
                          <w:pPr>
                            <w:pStyle w:val="Footer"/>
                            <w:rPr>
                              <w:rStyle w:val="Style10"/>
                            </w:rPr>
                          </w:pPr>
                          <w:r>
                            <w:rPr/>
                          </w:r>
                        </w:p>
                      </w:txbxContent>
                    </wps:txbx>
                    <wps:bodyPr lIns="36360" rIns="36360" tIns="36360" bIns="36360" anchor="t">
                      <a:spAutoFit/>
                    </wps:bodyPr>
                  </wps:wsp>
                </a:graphicData>
              </a:graphic>
            </wp:anchor>
          </w:drawing>
        </mc:Choice>
        <mc:Fallback>
          <w:pict>
            <v:rect id="shape_0" ID="Врезка1" path="m0,0l-2147483645,0l-2147483645,-2147483646l0,-2147483646xe" stroked="f" o:allowincell="f" style="position:absolute;margin-left:489.2pt;margin-top:0.05pt;width:6.7pt;height:19.35pt;mso-wrap-style:none;v-text-anchor:middle;mso-position-horizontal:right;mso-position-horizontal-relative:margin">
              <v:fill o:detectmouseclick="t" on="false"/>
              <v:stroke color="#3465a4" joinstyle="round" endcap="flat"/>
              <v:textbox>
                <w:txbxContent>
                  <w:p>
                    <w:pPr>
                      <w:pStyle w:val="Footer"/>
                      <w:rPr>
                        <w:rStyle w:val="Style10"/>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85725" cy="246380"/>
              <wp:effectExtent l="0" t="0" r="0" b="0"/>
              <wp:wrapSquare wrapText="bothSides"/>
              <wp:docPr id="4" name="Врезка1"/>
              <a:graphic xmlns:a="http://schemas.openxmlformats.org/drawingml/2006/main">
                <a:graphicData uri="http://schemas.microsoft.com/office/word/2010/wordprocessingShape">
                  <wps:wsp>
                    <wps:cNvSpPr/>
                    <wps:spPr>
                      <a:xfrm>
                        <a:off x="0" y="0"/>
                        <a:ext cx="85680" cy="246240"/>
                      </a:xfrm>
                      <a:prstGeom prst="rect">
                        <a:avLst/>
                      </a:prstGeom>
                      <a:noFill/>
                      <a:ln w="0">
                        <a:noFill/>
                      </a:ln>
                    </wps:spPr>
                    <wps:style>
                      <a:lnRef idx="0"/>
                      <a:fillRef idx="0"/>
                      <a:effectRef idx="0"/>
                      <a:fontRef idx="minor"/>
                    </wps:style>
                    <wps:txbx>
                      <w:txbxContent>
                        <w:p>
                          <w:pPr>
                            <w:pStyle w:val="Footer"/>
                            <w:rPr>
                              <w:rStyle w:val="Style10"/>
                            </w:rPr>
                          </w:pPr>
                          <w:r>
                            <w:rPr/>
                          </w:r>
                        </w:p>
                      </w:txbxContent>
                    </wps:txbx>
                    <wps:bodyPr lIns="36360" rIns="36360" tIns="36360" bIns="36360" anchor="t">
                      <a:spAutoFit/>
                    </wps:bodyPr>
                  </wps:wsp>
                </a:graphicData>
              </a:graphic>
            </wp:anchor>
          </w:drawing>
        </mc:Choice>
        <mc:Fallback>
          <w:pict>
            <v:rect id="shape_0" ID="Врезка1" path="m0,0l-2147483645,0l-2147483645,-2147483646l0,-2147483646xe" stroked="f" o:allowincell="f" style="position:absolute;margin-left:489.2pt;margin-top:0.05pt;width:6.7pt;height:19.35pt;mso-wrap-style:none;v-text-anchor:middle;mso-position-horizontal:right;mso-position-horizontal-relative:margin">
              <v:fill o:detectmouseclick="t" on="false"/>
              <v:stroke color="#3465a4" joinstyle="round" endcap="flat"/>
              <v:textbox>
                <w:txbxContent>
                  <w:p>
                    <w:pPr>
                      <w:pStyle w:val="Footer"/>
                      <w:rPr>
                        <w:rStyle w:val="Style10"/>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link w:val="CaptionChar"/>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831">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2">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3">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34">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35">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36">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37">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38">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39">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40">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41">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42">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43">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44">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45">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46">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47">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48">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49">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50">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51">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52">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3">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4">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5">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6">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7">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8">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59">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60">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61">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62">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63">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64">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65">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66">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67">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68">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9">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70">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71">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72">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73">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74">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875">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876">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877">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878">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79">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880">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881">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882">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883">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84">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85">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86">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87">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88">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89">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90">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91">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92">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93">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94">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95">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96">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97">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98">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99">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00">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01">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2">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03">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04">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05">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06">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07">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08">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09">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10">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11">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12">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13">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14">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15">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16">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17">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18">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19">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20">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21">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22">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23">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24">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25">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26">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27">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28">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29">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30">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31">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32">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33">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34">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35">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36">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37">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38">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39">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0">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1">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2">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43">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44">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45">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46">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47">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48">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49">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50">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51">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52">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53">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54">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55">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56">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57">
    <w:name w:val="Normal Table"/>
    <w:uiPriority w:val="99"/>
    <w:semiHidden/>
    <w:unhideWhenUsed/>
  </w:style>
  <w:style w:type="table" w:customStyle="1" w:styleId="958">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LibreOffice/7.6.7.2$Linux_X86_64 LibreOffice_project/60$Build-2</Application>
  <AppVersion>15.0000</AppVersion>
  <Pages>4</Pages>
  <Words>665</Words>
  <Characters>4603</Characters>
  <CharactersWithSpaces>5849</CharactersWithSpaces>
  <Paragraphs>77</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2026-05-13T10:54:56Z</dcterms:modified>
  <cp:revision>1129</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