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firstLine="708"/>
        <w:jc w:val="center"/>
        <w:rPr>
          <w:b/>
        </w:rPr>
      </w:pPr>
      <w:r>
        <w:rPr>
          <w:b/>
        </w:rPr>
        <w:t xml:space="preserve">Департамент имущественных отношений администрации города Перми </w:t>
      </w:r>
      <w:r>
        <w:rPr>
          <w:b/>
        </w:rPr>
      </w:r>
    </w:p>
    <w:p>
      <w:pPr>
        <w:pStyle w:val="618"/>
        <w:jc w:val="center"/>
        <w:rPr>
          <w:b/>
          <w:sz w:val="24"/>
          <w:szCs w:val="24"/>
          <w:lang w:val="ru-RU" w:eastAsia="ru-RU" w:bidi="ar-SA"/>
        </w:rPr>
      </w:pPr>
      <w:r>
        <w:rPr>
          <w:b/>
          <w:sz w:val="24"/>
          <w:szCs w:val="24"/>
          <w:lang w:val="ru-RU" w:eastAsia="ru-RU" w:bidi="ar-SA"/>
        </w:rPr>
        <w:t xml:space="preserve">извещает об отказе от проведения 21.05.2026 электронных аукционов на право заключения договоров аренды земельных участков по лотам №№ 1, 2, 3, 5. </w:t>
      </w:r>
      <w:r>
        <w:rPr>
          <w:b/>
          <w:sz w:val="24"/>
          <w:szCs w:val="24"/>
          <w:lang w:val="ru-RU" w:eastAsia="ru-RU" w:bidi="ar-SA"/>
        </w:rPr>
      </w:r>
    </w:p>
    <w:p>
      <w:pPr>
        <w:pStyle w:val="618"/>
        <w:ind w:left="-54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8"/>
        <w:ind w:left="-54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8"/>
        <w:ind w:left="0" w:right="0" w:firstLine="709"/>
        <w:jc w:val="both"/>
        <w:spacing w:before="0" w:after="0" w:line="240" w:lineRule="auto"/>
        <w:tabs>
          <w:tab w:val="left" w:pos="2268" w:leader="none"/>
        </w:tabs>
        <w:rPr>
          <w:b/>
          <w:bCs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 основании приказа начальника департамента имущественных отношений администрации города Перми от </w:t>
      </w:r>
      <w:r>
        <w:rPr>
          <w:b w:val="0"/>
          <w:bCs w:val="0"/>
          <w:sz w:val="24"/>
          <w:szCs w:val="24"/>
          <w:highlight w:val="white"/>
        </w:rPr>
        <w:t xml:space="preserve">15</w:t>
      </w:r>
      <w:r>
        <w:rPr>
          <w:b w:val="0"/>
          <w:bCs w:val="0"/>
          <w:sz w:val="24"/>
          <w:szCs w:val="24"/>
          <w:highlight w:val="white"/>
          <w:shd w:val="clear" w:color="auto" w:fill="ffff00"/>
        </w:rPr>
        <w:t xml:space="preserve">.05.2026 № 059-19-01-11-73 </w:t>
      </w:r>
      <w:r>
        <w:rPr>
          <w:b w:val="0"/>
          <w:bCs w:val="0"/>
          <w:sz w:val="24"/>
          <w:szCs w:val="24"/>
          <w:highlight w:val="white"/>
        </w:rPr>
        <w:t xml:space="preserve">«</w:t>
      </w:r>
      <w:r>
        <w:rPr>
          <w:b w:val="0"/>
          <w:bCs w:val="0"/>
          <w:sz w:val="24"/>
          <w:szCs w:val="24"/>
          <w:highlight w:val="white"/>
          <w:lang w:val="ru-RU"/>
        </w:rPr>
        <w:t xml:space="preserve">О</w:t>
      </w:r>
      <w:r>
        <w:rPr>
          <w:b w:val="0"/>
          <w:bCs w:val="0"/>
          <w:sz w:val="24"/>
          <w:szCs w:val="24"/>
          <w:lang w:val="ru-RU"/>
        </w:rPr>
        <w:t xml:space="preserve">б отказе от проведения </w:t>
      </w:r>
      <w:r>
        <w:rPr>
          <w:b w:val="0"/>
          <w:bCs w:val="0"/>
          <w:sz w:val="24"/>
          <w:szCs w:val="24"/>
          <w:lang w:val="ru-RU"/>
        </w:rPr>
        <w:t xml:space="preserve">21</w:t>
      </w:r>
      <w:r>
        <w:rPr>
          <w:b w:val="0"/>
          <w:bCs w:val="0"/>
          <w:sz w:val="24"/>
          <w:szCs w:val="24"/>
          <w:lang w:val="ru-RU"/>
        </w:rPr>
        <w:t xml:space="preserve"> ма</w:t>
      </w:r>
      <w:r>
        <w:rPr>
          <w:b w:val="0"/>
          <w:bCs w:val="0"/>
          <w:sz w:val="24"/>
          <w:szCs w:val="24"/>
          <w:lang w:val="ru-RU" w:eastAsia="ru-RU" w:bidi="ar-SA"/>
        </w:rPr>
        <w:t xml:space="preserve">я 2026 г. электронных аукционов на право заключения договоров аренды земельных участков» отменено провед</w:t>
      </w:r>
      <w:r>
        <w:rPr>
          <w:b w:val="0"/>
          <w:bCs w:val="0"/>
          <w:sz w:val="24"/>
          <w:szCs w:val="24"/>
          <w:lang w:val="ru-RU" w:eastAsia="ru-RU" w:bidi="ar-SA"/>
        </w:rPr>
        <w:t xml:space="preserve">ение электронных аукционов на право заключения договоров аренды земельных участков, назначенных на 21 мая 2026 г., по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лотам № 1 </w:t>
        <w:br/>
        <w:t xml:space="preserve">(улица Нижнекамская, з/у 24а, кадастровый номер 59:01:1717003:142, площадь 940 кв. м), № 2 (улиц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а Сиреневая, з/у 52, кадастровый номер 59:01:3512025:146, площадь 800 кв. м), № 3 (улица Сиреневая, з/у 23а, кадастровый номером 59:01:3512028:166, площадь 758 кв. м), № 5 (переулок Клубный, з/у 16а, кадастровый номер 59:01:3610013:148, площадь </w:t>
        <w:br/>
        <w:t xml:space="preserve">495 кв. м).</w:t>
      </w:r>
      <w:r>
        <w:rPr>
          <w:b w:val="0"/>
          <w:bCs w:val="0"/>
          <w:sz w:val="24"/>
          <w:szCs w:val="24"/>
          <w:lang w:val="ru-RU" w:eastAsia="ru-RU" w:bidi="ar-SA"/>
        </w:rPr>
      </w:r>
      <w:r>
        <w:rPr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719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Open Sans">
    <w:panose1 w:val="020B0606030504020204"/>
  </w:font>
  <w:font w:name="Wingdings">
    <w:panose1 w:val="05010000000000000000"/>
  </w:font>
  <w:font w:name="Liberation Sans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8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619">
    <w:name w:val="Heading 1"/>
    <w:basedOn w:val="618"/>
    <w:next w:val="618"/>
    <w:link w:val="62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20">
    <w:name w:val="Heading 2"/>
    <w:basedOn w:val="618"/>
    <w:next w:val="618"/>
    <w:link w:val="62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21">
    <w:name w:val="Heading 3"/>
    <w:basedOn w:val="618"/>
    <w:next w:val="618"/>
    <w:link w:val="63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22">
    <w:name w:val="Heading 4"/>
    <w:basedOn w:val="618"/>
    <w:next w:val="618"/>
    <w:link w:val="63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23">
    <w:name w:val="Heading 5"/>
    <w:basedOn w:val="618"/>
    <w:next w:val="618"/>
    <w:link w:val="63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24">
    <w:name w:val="Heading 6"/>
    <w:basedOn w:val="618"/>
    <w:next w:val="618"/>
    <w:link w:val="63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25">
    <w:name w:val="Heading 7"/>
    <w:basedOn w:val="618"/>
    <w:next w:val="618"/>
    <w:link w:val="63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26">
    <w:name w:val="Heading 8"/>
    <w:basedOn w:val="618"/>
    <w:next w:val="618"/>
    <w:link w:val="63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27">
    <w:name w:val="Heading 9"/>
    <w:basedOn w:val="618"/>
    <w:next w:val="618"/>
    <w:link w:val="63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28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629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630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631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32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33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34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35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36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37">
    <w:name w:val="Title Char"/>
    <w:uiPriority w:val="10"/>
    <w:qFormat/>
    <w:rPr>
      <w:sz w:val="48"/>
      <w:szCs w:val="48"/>
    </w:rPr>
  </w:style>
  <w:style w:type="character" w:styleId="638">
    <w:name w:val="Subtitle Char"/>
    <w:uiPriority w:val="11"/>
    <w:qFormat/>
    <w:rPr>
      <w:sz w:val="24"/>
      <w:szCs w:val="24"/>
    </w:rPr>
  </w:style>
  <w:style w:type="character" w:styleId="639">
    <w:name w:val="Quote Char"/>
    <w:link w:val="663"/>
    <w:uiPriority w:val="29"/>
    <w:qFormat/>
    <w:rPr>
      <w:i/>
    </w:rPr>
  </w:style>
  <w:style w:type="character" w:styleId="640">
    <w:name w:val="Intense Quote Char"/>
    <w:link w:val="664"/>
    <w:uiPriority w:val="30"/>
    <w:qFormat/>
    <w:rPr>
      <w:i/>
    </w:rPr>
  </w:style>
  <w:style w:type="character" w:styleId="641">
    <w:name w:val="Header Char"/>
    <w:uiPriority w:val="99"/>
    <w:qFormat/>
  </w:style>
  <w:style w:type="character" w:styleId="642">
    <w:name w:val="Footer Char"/>
    <w:uiPriority w:val="99"/>
    <w:qFormat/>
  </w:style>
  <w:style w:type="character" w:styleId="643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44">
    <w:name w:val="Hyperlink"/>
    <w:uiPriority w:val="99"/>
    <w:unhideWhenUsed/>
    <w:rPr>
      <w:color w:val="0000ff" w:themeColor="hyperlink"/>
      <w:u w:val="single"/>
    </w:rPr>
  </w:style>
  <w:style w:type="character" w:styleId="645">
    <w:name w:val="Footnote Text Char"/>
    <w:uiPriority w:val="99"/>
    <w:qFormat/>
    <w:rPr>
      <w:sz w:val="18"/>
    </w:rPr>
  </w:style>
  <w:style w:type="character" w:styleId="646">
    <w:name w:val="Символ сноски"/>
    <w:uiPriority w:val="99"/>
    <w:unhideWhenUsed/>
    <w:qFormat/>
    <w:rPr>
      <w:vertAlign w:val="superscript"/>
    </w:rPr>
  </w:style>
  <w:style w:type="character" w:styleId="647">
    <w:name w:val="footnote reference"/>
    <w:rPr>
      <w:vertAlign w:val="superscript"/>
    </w:rPr>
  </w:style>
  <w:style w:type="character" w:styleId="648">
    <w:name w:val="Endnote Text Char"/>
    <w:uiPriority w:val="99"/>
    <w:qFormat/>
    <w:rPr>
      <w:sz w:val="20"/>
    </w:rPr>
  </w:style>
  <w:style w:type="character" w:styleId="64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0">
    <w:name w:val="endnote reference"/>
    <w:rPr>
      <w:vertAlign w:val="superscript"/>
    </w:rPr>
  </w:style>
  <w:style w:type="character" w:styleId="651">
    <w:name w:val="Основной шрифт абзаца"/>
    <w:semiHidden/>
    <w:qFormat/>
  </w:style>
  <w:style w:type="character" w:styleId="652">
    <w:name w:val="Основной текст 2 Знак"/>
    <w:link w:val="682"/>
    <w:qFormat/>
    <w:rPr>
      <w:sz w:val="24"/>
    </w:rPr>
  </w:style>
  <w:style w:type="character" w:styleId="653" w:default="1">
    <w:name w:val="Default Paragraph Font"/>
    <w:uiPriority w:val="1"/>
    <w:semiHidden/>
    <w:unhideWhenUsed/>
    <w:qFormat/>
  </w:style>
  <w:style w:type="paragraph" w:styleId="654">
    <w:name w:val="Заголовок"/>
    <w:basedOn w:val="618"/>
    <w:next w:val="655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655">
    <w:name w:val="Body Text"/>
    <w:basedOn w:val="618"/>
    <w:pPr>
      <w:spacing w:before="0" w:after="140" w:line="276" w:lineRule="auto"/>
    </w:pPr>
  </w:style>
  <w:style w:type="paragraph" w:styleId="656">
    <w:name w:val="List"/>
    <w:basedOn w:val="655"/>
    <w:rPr>
      <w:rFonts w:cs="Lohit Devanagari"/>
    </w:rPr>
  </w:style>
  <w:style w:type="paragraph" w:styleId="657">
    <w:name w:val="Caption"/>
    <w:basedOn w:val="618"/>
    <w:next w:val="618"/>
    <w:link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8">
    <w:name w:val="Указатель"/>
    <w:basedOn w:val="618"/>
    <w:qFormat/>
    <w:pPr>
      <w:suppressLineNumbers/>
    </w:pPr>
    <w:rPr>
      <w:rFonts w:cs="Lohit Devanagari"/>
    </w:rPr>
  </w:style>
  <w:style w:type="paragraph" w:styleId="659">
    <w:name w:val="List Paragraph"/>
    <w:basedOn w:val="618"/>
    <w:uiPriority w:val="34"/>
    <w:qFormat/>
    <w:pPr>
      <w:contextualSpacing/>
      <w:ind w:left="720"/>
      <w:spacing w:before="0" w:after="0"/>
    </w:pPr>
  </w:style>
  <w:style w:type="paragraph" w:styleId="66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661">
    <w:name w:val="Title"/>
    <w:basedOn w:val="618"/>
    <w:next w:val="618"/>
    <w:link w:val="63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2">
    <w:name w:val="Subtitle"/>
    <w:basedOn w:val="618"/>
    <w:next w:val="618"/>
    <w:link w:val="638"/>
    <w:uiPriority w:val="11"/>
    <w:qFormat/>
    <w:pPr>
      <w:spacing w:before="200" w:after="200"/>
    </w:pPr>
    <w:rPr>
      <w:sz w:val="24"/>
      <w:szCs w:val="24"/>
    </w:rPr>
  </w:style>
  <w:style w:type="paragraph" w:styleId="663">
    <w:name w:val="Quote"/>
    <w:basedOn w:val="618"/>
    <w:next w:val="618"/>
    <w:link w:val="639"/>
    <w:uiPriority w:val="29"/>
    <w:qFormat/>
    <w:pPr>
      <w:ind w:left="720" w:right="720"/>
    </w:pPr>
    <w:rPr>
      <w:i/>
    </w:rPr>
  </w:style>
  <w:style w:type="paragraph" w:styleId="664">
    <w:name w:val="Intense Quote"/>
    <w:basedOn w:val="618"/>
    <w:next w:val="618"/>
    <w:link w:val="64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5">
    <w:name w:val="Колонтитул"/>
    <w:basedOn w:val="618"/>
    <w:qFormat/>
  </w:style>
  <w:style w:type="paragraph" w:styleId="666">
    <w:name w:val="Header"/>
    <w:basedOn w:val="618"/>
    <w:link w:val="64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7">
    <w:name w:val="Footer"/>
    <w:basedOn w:val="618"/>
    <w:link w:val="64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8">
    <w:name w:val="footnote text"/>
    <w:basedOn w:val="618"/>
    <w:link w:val="64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9">
    <w:name w:val="endnote text"/>
    <w:basedOn w:val="618"/>
    <w:link w:val="64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0">
    <w:name w:val="toc 1"/>
    <w:basedOn w:val="618"/>
    <w:next w:val="618"/>
    <w:uiPriority w:val="39"/>
    <w:unhideWhenUsed/>
    <w:pPr>
      <w:ind w:left="0" w:right="0" w:firstLine="0"/>
      <w:spacing w:before="0" w:after="57"/>
    </w:pPr>
  </w:style>
  <w:style w:type="paragraph" w:styleId="671">
    <w:name w:val="toc 2"/>
    <w:basedOn w:val="618"/>
    <w:next w:val="618"/>
    <w:uiPriority w:val="39"/>
    <w:unhideWhenUsed/>
    <w:pPr>
      <w:ind w:left="283" w:right="0" w:firstLine="0"/>
      <w:spacing w:before="0" w:after="57"/>
    </w:pPr>
  </w:style>
  <w:style w:type="paragraph" w:styleId="672">
    <w:name w:val="toc 3"/>
    <w:basedOn w:val="618"/>
    <w:next w:val="618"/>
    <w:uiPriority w:val="39"/>
    <w:unhideWhenUsed/>
    <w:pPr>
      <w:ind w:left="567" w:right="0" w:firstLine="0"/>
      <w:spacing w:before="0" w:after="57"/>
    </w:pPr>
  </w:style>
  <w:style w:type="paragraph" w:styleId="673">
    <w:name w:val="toc 4"/>
    <w:basedOn w:val="618"/>
    <w:next w:val="618"/>
    <w:uiPriority w:val="39"/>
    <w:unhideWhenUsed/>
    <w:pPr>
      <w:ind w:left="850" w:right="0" w:firstLine="0"/>
      <w:spacing w:before="0" w:after="57"/>
    </w:pPr>
  </w:style>
  <w:style w:type="paragraph" w:styleId="674">
    <w:name w:val="toc 5"/>
    <w:basedOn w:val="618"/>
    <w:next w:val="618"/>
    <w:uiPriority w:val="39"/>
    <w:unhideWhenUsed/>
    <w:pPr>
      <w:ind w:left="1134" w:right="0" w:firstLine="0"/>
      <w:spacing w:before="0" w:after="57"/>
    </w:pPr>
  </w:style>
  <w:style w:type="paragraph" w:styleId="675">
    <w:name w:val="toc 6"/>
    <w:basedOn w:val="618"/>
    <w:next w:val="618"/>
    <w:uiPriority w:val="39"/>
    <w:unhideWhenUsed/>
    <w:pPr>
      <w:ind w:left="1417" w:right="0" w:firstLine="0"/>
      <w:spacing w:before="0" w:after="57"/>
    </w:pPr>
  </w:style>
  <w:style w:type="paragraph" w:styleId="676">
    <w:name w:val="toc 7"/>
    <w:basedOn w:val="618"/>
    <w:next w:val="618"/>
    <w:uiPriority w:val="39"/>
    <w:unhideWhenUsed/>
    <w:pPr>
      <w:ind w:left="1701" w:right="0" w:firstLine="0"/>
      <w:spacing w:before="0" w:after="57"/>
    </w:pPr>
  </w:style>
  <w:style w:type="paragraph" w:styleId="677">
    <w:name w:val="toc 8"/>
    <w:basedOn w:val="618"/>
    <w:next w:val="618"/>
    <w:uiPriority w:val="39"/>
    <w:unhideWhenUsed/>
    <w:pPr>
      <w:ind w:left="1984" w:right="0" w:firstLine="0"/>
      <w:spacing w:before="0" w:after="57"/>
    </w:pPr>
  </w:style>
  <w:style w:type="paragraph" w:styleId="678">
    <w:name w:val="toc 9"/>
    <w:basedOn w:val="618"/>
    <w:next w:val="618"/>
    <w:uiPriority w:val="39"/>
    <w:unhideWhenUsed/>
    <w:pPr>
      <w:ind w:left="2268" w:right="0" w:firstLine="0"/>
      <w:spacing w:before="0" w:after="57"/>
    </w:pPr>
  </w:style>
  <w:style w:type="paragraph" w:styleId="679">
    <w:name w:val="Index Heading"/>
    <w:basedOn w:val="654"/>
  </w:style>
  <w:style w:type="paragraph" w:styleId="68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681">
    <w:name w:val="table of figures"/>
    <w:basedOn w:val="618"/>
    <w:next w:val="618"/>
    <w:uiPriority w:val="99"/>
    <w:unhideWhenUsed/>
    <w:pPr>
      <w:spacing w:before="0" w:after="0" w:afterAutospacing="0"/>
    </w:pPr>
  </w:style>
  <w:style w:type="paragraph" w:styleId="682">
    <w:name w:val="Основной текст 2"/>
    <w:basedOn w:val="618"/>
    <w:link w:val="652"/>
    <w:qFormat/>
    <w:pPr>
      <w:jc w:val="center"/>
      <w:spacing w:before="120" w:after="0" w:line="240" w:lineRule="exact"/>
    </w:pPr>
    <w:rPr>
      <w:szCs w:val="20"/>
      <w:lang w:val="en-US" w:eastAsia="en-US"/>
    </w:rPr>
  </w:style>
  <w:style w:type="paragraph" w:styleId="683">
    <w:name w:val="Текст выноски"/>
    <w:basedOn w:val="618"/>
    <w:semiHidden/>
    <w:qFormat/>
    <w:rPr>
      <w:rFonts w:ascii="Tahoma" w:hAnsi="Tahoma" w:cs="Tahoma"/>
      <w:sz w:val="16"/>
      <w:szCs w:val="16"/>
    </w:rPr>
  </w:style>
  <w:style w:type="numbering" w:styleId="684">
    <w:name w:val="Нет списка"/>
    <w:semiHidden/>
    <w:qFormat/>
  </w:style>
  <w:style w:type="numbering" w:styleId="685" w:default="1">
    <w:name w:val="No List"/>
    <w:uiPriority w:val="99"/>
    <w:semiHidden/>
    <w:unhideWhenUsed/>
    <w:qFormat/>
  </w:style>
  <w:style w:type="table" w:styleId="68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2">
    <w:name w:val="Обычная таблица"/>
    <w:semiHidden/>
    <w:tblPr/>
  </w:style>
  <w:style w:type="table" w:styleId="8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MoBIL GROUP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subject/>
  <dc:creator>Admin</dc:creator>
  <dc:description/>
  <dc:language>ru-RU</dc:language>
  <cp:lastModifiedBy>chetina-yui</cp:lastModifiedBy>
  <cp:revision>61</cp:revision>
  <dcterms:created xsi:type="dcterms:W3CDTF">2016-08-19T04:58:00Z</dcterms:created>
  <dcterms:modified xsi:type="dcterms:W3CDTF">2026-05-15T12:33:06Z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