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id 81044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аренды земельного участка, приобретаемого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на торгах в форме аукциона, для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Пермь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«___» _____________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____________, действующего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__________, с одной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_______________, именуемый в дальнейшем Арендатор, с другой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именуемые «Стороны», на основании протокола о результатах электронных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 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лоту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№ _________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(далее – протокол)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I. Предмет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59:01:1717124:341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площадью 7441 кв.м.,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и находящийся по адресу: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Воронежская, з/у 60б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(далее - земельный участок), для строительства склада и объектов, относящихся к легкой промышленности,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ом состоянии как он есть согласно приложению к настоящему договору.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Земельный участок расположен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зонах с особыми условиями использования территории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41"/>
              <w:numPr>
                <w:numId w:val="2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916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частично в охранной зоне ПС «ВЫШКА» 35/6 кВ;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41"/>
              <w:numPr>
                <w:numId w:val="2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916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частично в охранной зоне ВЛ 35 КВ ТЭЦ-5-ВЫШКА № 1,2 с отпайкой на ПС НАСОСНАЯ ОТ Ц. 1,2;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41"/>
              <w:numPr>
                <w:numId w:val="2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916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частично в охранной зоне ВЛ-6 КВ Ф. СОВХОЗ ПС ВЫШКА;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41"/>
              <w:numPr>
                <w:numId w:val="2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916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частично в зоне затопления территорий, прилегающих к зарегулированной </w:t>
              <w:br/>
              <w:t xml:space="preserve"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41"/>
              <w:numPr>
                <w:numId w:val="2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916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приаэродромная территория аэродрома аэропорта Большое Савино.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Земельный участок расположен в санитарно-защитных зонах предприятий: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41"/>
              <w:numPr>
                <w:numId w:val="3"/>
                <w:ilvl w:val="0"/>
              </w:numPr>
              <w:spacing w:after="0" w:line="240" w:lineRule="auto"/>
              <w:ind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ООО «Пермская химическая компания»;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41"/>
              <w:numPr>
                <w:numId w:val="3"/>
                <w:ilvl w:val="0"/>
              </w:numPr>
              <w:spacing w:after="0" w:line="240" w:lineRule="auto"/>
              <w:ind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Пермский филиал ФГУП «Российский научный центр «прикамская химия»;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41"/>
              <w:numPr>
                <w:numId w:val="3"/>
                <w:ilvl w:val="0"/>
              </w:numPr>
              <w:spacing w:after="0" w:line="240" w:lineRule="auto"/>
              <w:ind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ПЕРМХИМ ООО;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41"/>
              <w:numPr>
                <w:numId w:val="3"/>
                <w:ilvl w:val="0"/>
              </w:numPr>
              <w:spacing w:after="0" w:line="240" w:lineRule="auto"/>
              <w:ind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ПЕРМХИМ ЗАО.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1.2. Разрешенное использование – легкая промышленность, склады.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7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1.3.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Проектирование и строительство необходимо вести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огласно информации, содержащейся в градостроительн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плане от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12.11.2025 № РФ-59-2-03-0-00-2025-2777-0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дания на высоте не менее 4,5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 территорией общего пользова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составляет не более 1,2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земельных участках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Минимальный отступ от границ земельного участка до места допустимого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змещения зданий, строений – 0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количество этажей и (или) предельная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высота зданий, строений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таблицей Б.1 «Показател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зоне специализированной общественной застройки составляет 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Таким образом, предельные параметры разрешенного строительства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земельном участке составляют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8220 кв. м. (3425 кв.м. х 2,4)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7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минимальная 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склада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земельном участке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складов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продовольственных товаров 1004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одноэтажных объектов капитального строительства, 1516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многоэтажных объектов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II. Права и обязанности Арендодателя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 Арендодатель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Арендодатель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III. Права и обязанности Арендатора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Арендатор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емельного кодекса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 Арендатор обязан: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выполнять в полном объеме все условия настоящего договора;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3.2.4. </w:t>
      </w:r>
      <w:r>
        <w:rPr>
          <w:rFonts w:ascii="Times New Roman" w:hAnsi="Times New Roman" w:cs="Times New Roman"/>
          <w:sz w:val="24"/>
          <w:szCs w:val="24"/>
        </w:rPr>
        <w:t xml:space="preserve">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3.2.5. своевременно вносить арендную плату;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охранной зоне линейного объекта;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договора по акту приема-передачи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3.2.16.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3.2.19.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3.2.20.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 строительстве и размещении объектов на земельном участке, проектом предусмотреть: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  <w:tab/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поверхностный водоотвод без подтопления смежных территорий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  <w:tab/>
        <w:t xml:space="preserve">определение видов образующихся отходов и мест их размещения на период эксплуатации;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69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3.2.21.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постановлением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11.03.2010 </w:t>
              <w:br/>
              <w:t xml:space="preserve">№ 138 «Об утверждении Федеральных правил использования воздушного пространства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3.2.22.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облюдать при использовании земельного участка правила охраны электрических сетей, установленные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й использования земельных участков, расположенных в границах таких зон»;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3.2.23.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облюдать при использовании земельного участка ограничения в использовании земельного участка в санитарно-защитных зонах, утвержденные постановлением Главного государственного санитарного врача Российской Федерации от 25.09.2007 г. № 74 «О введении в действ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3.2.24.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соблюдать требования, установленные частью 3 статьи 67.1 Водного кодекса Российской Федерации;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suppressLineNumbers w:val="0"/>
              <w:spacing w:before="0" w:beforeAutospacing="0" w:after="0" w:line="283" w:lineRule="atLeast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3.2.25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соблюдать Правила благоустройства территории города Перми, утвержденные решение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 Пермской городской Думы от 15.12.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2020 № 277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роезда от границ земельного участка до существующей улично-дорожной сети города Перми, а также наружное освещение подъезда;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4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3.2.27.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кой Федерации, федеральными законами.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IV. Срок аренды и арендная плата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4.2. Ежегодный размер арендной платы составляет _____________________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(сумма прописью)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Получатель: 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 _____________; БИК ____________; КПП 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Р/с 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погашения платежей: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КБК 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Назначение платежа: 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 Арендная плата исчисляется помесячно с «___» ______ 20__ г. и вносится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арендная плата начисляется за весь текущий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и вносится Арендатором за все время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VI. Порядок заключения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оплачивает арендную плату 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земельного участка.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Арендатор уплачивает Арендодателю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за каждый день просрочки.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VII. Расторжение, прекращение договора и заключение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договора на новый срок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 и настоящим договором.</w:t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независимо от ее последующего внесения;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недвижимости;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правонарушения;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VIII. Предоставление земельного участка в субаренду,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заключение соглашения об установлении сервитута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8.1.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8.3. При досрочном прекращении действия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IX. Особые обстоятельства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ение этих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твенным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 приема-передачи земельного участка (приложение);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tbl>
      <w:tblPr>
        <w:tblStyle w:val="69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 (адрес): 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почтовый адрес: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212-29-82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212-61-90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212-29-82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212-61-90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9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юридического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физического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68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7"/>
    <w:next w:val="837"/>
    <w:link w:val="66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7"/>
    <w:next w:val="837"/>
    <w:link w:val="66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7"/>
    <w:next w:val="837"/>
    <w:link w:val="66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7"/>
    <w:next w:val="837"/>
    <w:link w:val="66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7"/>
    <w:next w:val="837"/>
    <w:link w:val="67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7"/>
    <w:next w:val="837"/>
    <w:link w:val="67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7"/>
    <w:next w:val="837"/>
    <w:link w:val="67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7"/>
    <w:next w:val="837"/>
    <w:link w:val="67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7"/>
    <w:next w:val="837"/>
    <w:link w:val="67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837"/>
    <w:next w:val="837"/>
    <w:link w:val="68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spacing w:after="57"/>
      <w:ind w:left="0" w:right="0" w:firstLine="0"/>
    </w:pPr>
  </w:style>
  <w:style w:type="paragraph" w:styleId="827">
    <w:name w:val="toc 2"/>
    <w:basedOn w:val="837"/>
    <w:next w:val="837"/>
    <w:uiPriority w:val="39"/>
    <w:unhideWhenUsed/>
    <w:pPr>
      <w:spacing w:after="57"/>
      <w:ind w:left="283" w:right="0" w:firstLine="0"/>
    </w:pPr>
  </w:style>
  <w:style w:type="paragraph" w:styleId="828">
    <w:name w:val="toc 3"/>
    <w:basedOn w:val="837"/>
    <w:next w:val="837"/>
    <w:uiPriority w:val="39"/>
    <w:unhideWhenUsed/>
    <w:pPr>
      <w:spacing w:after="57"/>
      <w:ind w:left="567" w:right="0" w:firstLine="0"/>
    </w:pPr>
  </w:style>
  <w:style w:type="paragraph" w:styleId="829">
    <w:name w:val="toc 4"/>
    <w:basedOn w:val="837"/>
    <w:next w:val="837"/>
    <w:uiPriority w:val="39"/>
    <w:unhideWhenUsed/>
    <w:pPr>
      <w:spacing w:after="57"/>
      <w:ind w:left="850" w:right="0" w:firstLine="0"/>
    </w:pPr>
  </w:style>
  <w:style w:type="paragraph" w:styleId="830">
    <w:name w:val="toc 5"/>
    <w:basedOn w:val="837"/>
    <w:next w:val="837"/>
    <w:uiPriority w:val="39"/>
    <w:unhideWhenUsed/>
    <w:pPr>
      <w:spacing w:after="57"/>
      <w:ind w:left="1134" w:right="0" w:firstLine="0"/>
    </w:pPr>
  </w:style>
  <w:style w:type="paragraph" w:styleId="831">
    <w:name w:val="toc 6"/>
    <w:basedOn w:val="837"/>
    <w:next w:val="837"/>
    <w:uiPriority w:val="39"/>
    <w:unhideWhenUsed/>
    <w:pPr>
      <w:spacing w:after="57"/>
      <w:ind w:left="1417" w:right="0" w:firstLine="0"/>
    </w:pPr>
  </w:style>
  <w:style w:type="paragraph" w:styleId="832">
    <w:name w:val="toc 7"/>
    <w:basedOn w:val="837"/>
    <w:next w:val="837"/>
    <w:uiPriority w:val="39"/>
    <w:unhideWhenUsed/>
    <w:pPr>
      <w:spacing w:after="57"/>
      <w:ind w:left="1701" w:right="0" w:firstLine="0"/>
    </w:pPr>
  </w:style>
  <w:style w:type="paragraph" w:styleId="833">
    <w:name w:val="toc 8"/>
    <w:basedOn w:val="837"/>
    <w:next w:val="837"/>
    <w:uiPriority w:val="39"/>
    <w:unhideWhenUsed/>
    <w:pPr>
      <w:spacing w:after="57"/>
      <w:ind w:left="1984" w:right="0" w:firstLine="0"/>
    </w:pPr>
  </w:style>
  <w:style w:type="paragraph" w:styleId="834">
    <w:name w:val="toc 9"/>
    <w:basedOn w:val="837"/>
    <w:next w:val="837"/>
    <w:uiPriority w:val="39"/>
    <w:unhideWhenUsed/>
    <w:pPr>
      <w:spacing w:after="57"/>
      <w:ind w:left="2268" w:right="0" w:firstLine="0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basedOn w:val="837"/>
    <w:uiPriority w:val="1"/>
    <w:qFormat/>
    <w:pPr>
      <w:spacing w:after="0" w:line="240" w:lineRule="auto"/>
    </w:pPr>
  </w:style>
  <w:style w:type="paragraph" w:styleId="841">
    <w:name w:val="List Paragraph"/>
    <w:basedOn w:val="837"/>
    <w:uiPriority w:val="34"/>
    <w:qFormat/>
    <w:pPr>
      <w:ind w:left="720"/>
      <w:contextualSpacing/>
    </w:pPr>
  </w:style>
  <w:style w:type="character" w:styleId="842" w:default="1">
    <w:name w:val="Default Paragraph Font"/>
    <w:uiPriority w:val="1"/>
    <w:semiHidden/>
    <w:unhideWhenUsed/>
  </w:style>
  <w:style w:type="paragraph" w:styleId="843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chetina-yui</cp:lastModifiedBy>
  <cp:revision>29</cp:revision>
  <dcterms:modified xsi:type="dcterms:W3CDTF">2026-05-20T04:54:28Z</dcterms:modified>
</cp:coreProperties>
</file>