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firstLine="0"/>
        <w:jc w:val="right"/>
        <w:rPr>
          <w:rFonts w:ascii="Tahoma" w:hAnsi="Tahoma" w:eastAsia="Times New Roman" w:cs="Tahoma"/>
          <w:sz w:val="16"/>
          <w:szCs w:val="16"/>
          <w:lang w:eastAsia="ru-RU"/>
        </w:rPr>
        <w:outlineLvl w:val="0"/>
      </w:pP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id 82262</w:t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left="284" w:firstLine="0"/>
        <w:jc w:val="right"/>
        <w:rPr>
          <w:rFonts w:ascii="Tahoma" w:hAnsi="Tahoma" w:eastAsia="Times New Roman" w:cs="Tahoma"/>
          <w:sz w:val="16"/>
          <w:szCs w:val="16"/>
          <w:lang w:eastAsia="ru-RU"/>
        </w:rPr>
        <w:outlineLvl w:val="0"/>
      </w:pP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firstLine="0"/>
        <w:jc w:val="center"/>
        <w:widowControl w:val="off"/>
        <w:rPr>
          <w:rFonts w:eastAsia="Times New Roman"/>
          <w:b/>
          <w:sz w:val="24"/>
          <w:szCs w:val="24"/>
          <w:lang w:eastAsia="ru-RU"/>
        </w:rPr>
      </w:pPr>
      <w:r/>
      <w:bookmarkStart w:id="1" w:name="Par612"/>
      <w:r/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</w:r>
      <w:r>
        <w:rPr>
          <w:rFonts w:eastAsia="Times New Roman"/>
          <w:b/>
          <w:sz w:val="24"/>
          <w:szCs w:val="24"/>
          <w:lang w:eastAsia="ru-RU"/>
        </w:rPr>
        <w:t xml:space="preserve">на торгах в форме аукциона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r/>
      <w:r/>
    </w:p>
    <w:p>
      <w:r/>
      <w:r/>
    </w:p>
    <w:p>
      <w:pPr>
        <w:ind w:firstLine="567"/>
        <w:jc w:val="left"/>
        <w:tabs>
          <w:tab w:val="left" w:pos="9214" w:leader="none"/>
          <w:tab w:val="left" w:pos="10065" w:leader="none"/>
        </w:tabs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«    » __________ 2026</w:t>
      </w:r>
      <w:r>
        <w:rPr>
          <w:rFonts w:eastAsia="Times New Roman"/>
          <w:bCs/>
          <w:sz w:val="24"/>
          <w:szCs w:val="24"/>
          <w:lang w:eastAsia="ru-RU"/>
        </w:rPr>
        <w:t xml:space="preserve"> г.</w:t>
      </w:r>
      <w:r>
        <w:rPr>
          <w:rFonts w:eastAsia="Times New Roman"/>
          <w:bCs/>
          <w:sz w:val="24"/>
          <w:szCs w:val="24"/>
          <w:u w:val="single"/>
          <w:lang w:eastAsia="ru-RU"/>
        </w:rPr>
      </w:r>
      <w:r>
        <w:rPr>
          <w:rFonts w:eastAsia="Times New Roman"/>
          <w:bCs/>
          <w:sz w:val="24"/>
          <w:szCs w:val="24"/>
          <w:u w:val="single"/>
          <w:lang w:eastAsia="ru-RU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Департамент земельных отношений администрации города Перми, именуемый </w:t>
      </w:r>
      <w:r>
        <w:rPr>
          <w:sz w:val="24"/>
          <w:szCs w:val="24"/>
        </w:rPr>
        <w:t xml:space="preserve">в дальнейшем «Продавец», в лице _____________________, действующего на основании ______________________________, с одной стороны, и ___________________, именуемы</w:t>
      </w:r>
      <w:r>
        <w:rPr>
          <w:sz w:val="24"/>
          <w:szCs w:val="24"/>
        </w:rPr>
        <w:t xml:space="preserve">й(</w:t>
      </w:r>
      <w:r>
        <w:rPr>
          <w:sz w:val="24"/>
          <w:szCs w:val="24"/>
        </w:rPr>
        <w:t xml:space="preserve">ая</w:t>
      </w:r>
      <w:r>
        <w:rPr>
          <w:sz w:val="24"/>
          <w:szCs w:val="24"/>
        </w:rPr>
        <w:t xml:space="preserve">) в дальнейшем «Покупатель», </w:t>
      </w:r>
      <w:r>
        <w:rPr>
          <w:sz w:val="24"/>
          <w:szCs w:val="24"/>
        </w:rPr>
        <w:t xml:space="preserve">с другой стороны, </w:t>
      </w:r>
      <w:r>
        <w:rPr>
          <w:sz w:val="24"/>
          <w:szCs w:val="24"/>
        </w:rPr>
        <w:t xml:space="preserve">совместно именуемые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Стороны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 основании протокола ___________________ от _________ по лоту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 (далее - протокол), </w:t>
      </w:r>
      <w:r>
        <w:rPr>
          <w:sz w:val="24"/>
          <w:szCs w:val="24"/>
        </w:rPr>
        <w:t xml:space="preserve">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 xml:space="preserve">земельный участок площадью </w:t>
      </w:r>
      <w:r>
        <w:rPr>
          <w:b/>
          <w:sz w:val="24"/>
          <w:szCs w:val="24"/>
        </w:rPr>
        <w:t xml:space="preserve">593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кв</w:t>
      </w:r>
      <w:r>
        <w:rPr>
          <w:b/>
          <w:sz w:val="24"/>
          <w:szCs w:val="24"/>
        </w:rPr>
        <w:t xml:space="preserve">.м</w:t>
      </w:r>
      <w:r>
        <w:rPr>
          <w:sz w:val="24"/>
          <w:szCs w:val="24"/>
        </w:rPr>
        <w:t xml:space="preserve"> с кадастровым номером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59:01:4613895:214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sz w:val="24"/>
          <w:szCs w:val="24"/>
        </w:rPr>
      </w:r>
      <w:r>
        <w:rPr>
          <w:b/>
          <w:sz w:val="24"/>
          <w:szCs w:val="24"/>
        </w:rPr>
        <w:t xml:space="preserve">Российская Федерация, Пермский край, городской округ Пермский, город Пермь, улица 1-я Красавинская, </w:t>
      </w:r>
      <w:r/>
      <w:r>
        <w:rPr>
          <w:b/>
          <w:sz w:val="24"/>
          <w:szCs w:val="24"/>
        </w:rPr>
        <w:t xml:space="preserve">з/у 14</w:t>
      </w:r>
      <w:r/>
      <w:r>
        <w:rPr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(далее - земельный участок),</w:t>
      </w:r>
      <w:r>
        <w:rPr>
          <w:sz w:val="24"/>
          <w:szCs w:val="24"/>
        </w:rPr>
        <w:t xml:space="preserve"> предназначенный </w:t>
      </w:r>
      <w:r>
        <w:rPr>
          <w:b/>
          <w:sz w:val="24"/>
          <w:szCs w:val="24"/>
        </w:rPr>
        <w:t xml:space="preserve">для индивидуального жилищного строительства</w:t>
      </w:r>
      <w:r>
        <w:rPr>
          <w:sz w:val="24"/>
          <w:szCs w:val="24"/>
        </w:rPr>
        <w:t xml:space="preserve">, а Покупатель обязуется принять</w:t>
      </w:r>
      <w:r>
        <w:rPr>
          <w:sz w:val="24"/>
          <w:szCs w:val="24"/>
        </w:rPr>
        <w:t xml:space="preserve"> и оплатить указанное имущество.</w:t>
      </w:r>
      <w:r>
        <w:rPr>
          <w:sz w:val="24"/>
          <w:szCs w:val="24"/>
        </w:rPr>
      </w:r>
      <w:r/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Земельный участок расположен в зонах с особыми условиями использования территории:  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приаэродромная территория аэродрома аэ</w:t>
      </w:r>
      <w:r>
        <w:rPr>
          <w:sz w:val="24"/>
          <w:szCs w:val="24"/>
        </w:rPr>
        <w:t xml:space="preserve">ропорта Большое Савино;</w:t>
      </w:r>
      <w:r>
        <w:rPr>
          <w:sz w:val="24"/>
          <w:szCs w:val="24"/>
        </w:rPr>
      </w:r>
    </w:p>
    <w:p>
      <w:r>
        <w:rPr>
          <w:sz w:val="24"/>
          <w:szCs w:val="24"/>
        </w:rPr>
        <w:t xml:space="preserve">- частично о</w:t>
      </w:r>
      <w:r>
        <w:rPr>
          <w:sz w:val="24"/>
          <w:szCs w:val="24"/>
        </w:rPr>
        <w:t xml:space="preserve">хранная зона газопровода </w:t>
      </w:r>
      <w:r>
        <w:rPr>
          <w:sz w:val="24"/>
          <w:szCs w:val="24"/>
        </w:rPr>
        <w:t xml:space="preserve">высокого и низкого давления 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ул. В-Муллинская, 1-я, 2-я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Красавинская, 1-я, 2-я, 3-я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Урожайная, Ш.Космонавтов,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Открытая, Пойменная,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пер. Верхнемуллинский, ул. 2-я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Пыжевская г. Перми</w:t>
      </w:r>
      <w:r>
        <w:rPr>
          <w:sz w:val="24"/>
          <w:szCs w:val="24"/>
        </w:rPr>
        <w:t xml:space="preserve">.</w:t>
      </w:r>
      <w:r/>
      <w:r/>
      <w:r/>
      <w:r>
        <w:rPr>
          <w:sz w:val="24"/>
          <w:szCs w:val="24"/>
        </w:rPr>
      </w:r>
    </w:p>
    <w:p>
      <w:pPr>
        <w:contextualSpacing/>
        <w:ind w:firstLine="720"/>
        <w:rPr>
          <w:sz w:val="24"/>
          <w:szCs w:val="24"/>
        </w:rPr>
      </w:pPr>
      <w:r/>
      <w:bookmarkStart w:id="2" w:name="_GoBack"/>
      <w:r/>
      <w:bookmarkEnd w:id="2"/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 строительства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bookmarkStart w:id="3" w:name="Par635"/>
      <w:r/>
      <w:bookmarkEnd w:id="3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4" w:name="Par637"/>
      <w:r/>
      <w:bookmarkEnd w:id="4"/>
      <w:r>
        <w:rPr>
          <w:b/>
          <w:sz w:val="24"/>
          <w:szCs w:val="24"/>
        </w:rPr>
        <w:t xml:space="preserve">___________________</w:t>
      </w:r>
      <w:r>
        <w:rPr>
          <w:b/>
          <w:sz w:val="24"/>
          <w:szCs w:val="24"/>
        </w:rPr>
        <w:t xml:space="preserve">  рублей </w:t>
      </w:r>
      <w:r>
        <w:rPr>
          <w:b/>
          <w:sz w:val="24"/>
          <w:szCs w:val="24"/>
        </w:rPr>
        <w:t xml:space="preserve">(</w:t>
      </w:r>
      <w:r>
        <w:rPr>
          <w:b/>
          <w:sz w:val="24"/>
          <w:szCs w:val="24"/>
        </w:rPr>
        <w:t xml:space="preserve">_____________________________________________________________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рублей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</w:t>
      </w:r>
      <w:r>
        <w:rPr>
          <w:b/>
          <w:sz w:val="24"/>
          <w:szCs w:val="24"/>
        </w:rPr>
        <w:t xml:space="preserve"> копеек).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t xml:space="preserve">в оплату приобретаемого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</w:t>
      </w:r>
      <w:r>
        <w:rPr>
          <w:sz w:val="24"/>
          <w:szCs w:val="24"/>
        </w:rPr>
        <w:t xml:space="preserve">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соблюдать требования, предусмотренные Земельным кодексом Российской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4.1. Покупатель в течение 15 дней со дня размещения протокола перечисляет денежные средства, определенные в пункте 2.1 настоя</w:t>
      </w:r>
      <w:r>
        <w:rPr>
          <w:sz w:val="24"/>
          <w:szCs w:val="24"/>
        </w:rPr>
        <w:t xml:space="preserve">щего договора, на счет Продавца.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/>
      <w:bookmarkStart w:id="5" w:name="Par683"/>
      <w:r/>
      <w:bookmarkEnd w:id="5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/>
      <w:bookmarkStart w:id="6" w:name="Par694"/>
      <w:r/>
      <w:bookmarkStart w:id="7" w:name="Par699"/>
      <w:r/>
      <w:bookmarkEnd w:id="6"/>
      <w:r/>
      <w:bookmarkEnd w:id="7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</w:t>
      </w:r>
      <w:r>
        <w:rPr>
          <w:b/>
          <w:sz w:val="24"/>
          <w:szCs w:val="24"/>
        </w:rPr>
        <w:t xml:space="preserve">ительные положения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Оплата за земельный участок в сумме, указанной в </w:t>
      </w:r>
      <w:r>
        <w:rPr>
          <w:sz w:val="24"/>
          <w:szCs w:val="24"/>
        </w:rPr>
        <w:t xml:space="preserve">пункте 2.1 настоящего договора,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произведена полностью. Реквизиты документ</w:t>
      </w:r>
      <w:r>
        <w:rPr>
          <w:sz w:val="24"/>
          <w:szCs w:val="24"/>
        </w:rPr>
        <w:t xml:space="preserve">а(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), подтверждающего(их)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перечисление денежных сре</w:t>
      </w:r>
      <w:r>
        <w:rPr>
          <w:sz w:val="24"/>
          <w:szCs w:val="24"/>
        </w:rPr>
        <w:t xml:space="preserve">дств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одавцу___________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(наименование, дата, номер)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828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XI. Адреса, реквизиты и подписи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82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1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тел.: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ИНН: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СНИЛС?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1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тел.: 212-29-82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1" w:type="dxa"/>
            <w:vAlign w:val="top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1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1" w:type="dxa"/>
            <w:vAlign w:val="top"/>
            <w:vMerge w:val="continue"/>
            <w:textDirection w:val="lrTb"/>
            <w:noWrap w:val="false"/>
          </w:tcPr>
          <w:p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82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426" w:right="1134" w:bottom="709" w:left="1134" w:header="709" w:footer="2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  <w:end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  <w:foot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5230433"/>
      <w:docPartObj>
        <w:docPartGallery w:val="Page Numbers (Top of Page)"/>
        <w:docPartUnique w:val="true"/>
      </w:docPartObj>
      <w:rPr/>
    </w:sdtPr>
    <w:sdtContent>
      <w:p>
        <w:pPr>
          <w:pStyle w:val="18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10"/>
    </w:pPr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635">
    <w:name w:val="Heading 1"/>
    <w:basedOn w:val="1805"/>
    <w:next w:val="1805"/>
    <w:link w:val="16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636">
    <w:name w:val="Heading 1 Char"/>
    <w:basedOn w:val="1807"/>
    <w:link w:val="1635"/>
    <w:uiPriority w:val="9"/>
    <w:rPr>
      <w:rFonts w:ascii="Arial" w:hAnsi="Arial" w:eastAsia="Arial" w:cs="Arial"/>
      <w:sz w:val="40"/>
      <w:szCs w:val="40"/>
    </w:rPr>
  </w:style>
  <w:style w:type="paragraph" w:styleId="1637">
    <w:name w:val="Heading 2"/>
    <w:basedOn w:val="1805"/>
    <w:next w:val="1805"/>
    <w:link w:val="1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38">
    <w:name w:val="Heading 2 Char"/>
    <w:basedOn w:val="1807"/>
    <w:link w:val="1637"/>
    <w:uiPriority w:val="9"/>
    <w:rPr>
      <w:rFonts w:ascii="Arial" w:hAnsi="Arial" w:eastAsia="Arial" w:cs="Arial"/>
      <w:sz w:val="34"/>
    </w:rPr>
  </w:style>
  <w:style w:type="character" w:styleId="1639">
    <w:name w:val="Heading 3 Char"/>
    <w:basedOn w:val="1807"/>
    <w:link w:val="1806"/>
    <w:uiPriority w:val="9"/>
    <w:rPr>
      <w:rFonts w:ascii="Arial" w:hAnsi="Arial" w:eastAsia="Arial" w:cs="Arial"/>
      <w:sz w:val="30"/>
      <w:szCs w:val="30"/>
    </w:rPr>
  </w:style>
  <w:style w:type="paragraph" w:styleId="1640">
    <w:name w:val="Heading 4"/>
    <w:basedOn w:val="1805"/>
    <w:next w:val="1805"/>
    <w:link w:val="1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41">
    <w:name w:val="Heading 4 Char"/>
    <w:basedOn w:val="1807"/>
    <w:link w:val="1640"/>
    <w:uiPriority w:val="9"/>
    <w:rPr>
      <w:rFonts w:ascii="Arial" w:hAnsi="Arial" w:eastAsia="Arial" w:cs="Arial"/>
      <w:b/>
      <w:bCs/>
      <w:sz w:val="26"/>
      <w:szCs w:val="26"/>
    </w:rPr>
  </w:style>
  <w:style w:type="paragraph" w:styleId="1642">
    <w:name w:val="Heading 5"/>
    <w:basedOn w:val="1805"/>
    <w:next w:val="1805"/>
    <w:link w:val="1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43">
    <w:name w:val="Heading 5 Char"/>
    <w:basedOn w:val="1807"/>
    <w:link w:val="1642"/>
    <w:uiPriority w:val="9"/>
    <w:rPr>
      <w:rFonts w:ascii="Arial" w:hAnsi="Arial" w:eastAsia="Arial" w:cs="Arial"/>
      <w:b/>
      <w:bCs/>
      <w:sz w:val="24"/>
      <w:szCs w:val="24"/>
    </w:rPr>
  </w:style>
  <w:style w:type="paragraph" w:styleId="1644">
    <w:name w:val="Heading 6"/>
    <w:basedOn w:val="1805"/>
    <w:next w:val="1805"/>
    <w:link w:val="1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645">
    <w:name w:val="Heading 6 Char"/>
    <w:basedOn w:val="1807"/>
    <w:link w:val="1644"/>
    <w:uiPriority w:val="9"/>
    <w:rPr>
      <w:rFonts w:ascii="Arial" w:hAnsi="Arial" w:eastAsia="Arial" w:cs="Arial"/>
      <w:b/>
      <w:bCs/>
      <w:sz w:val="22"/>
      <w:szCs w:val="22"/>
    </w:rPr>
  </w:style>
  <w:style w:type="paragraph" w:styleId="1646">
    <w:name w:val="Heading 7"/>
    <w:basedOn w:val="1805"/>
    <w:next w:val="1805"/>
    <w:link w:val="1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647">
    <w:name w:val="Heading 7 Char"/>
    <w:basedOn w:val="1807"/>
    <w:link w:val="1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48">
    <w:name w:val="Heading 8"/>
    <w:basedOn w:val="1805"/>
    <w:next w:val="1805"/>
    <w:link w:val="1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649">
    <w:name w:val="Heading 8 Char"/>
    <w:basedOn w:val="1807"/>
    <w:link w:val="1648"/>
    <w:uiPriority w:val="9"/>
    <w:rPr>
      <w:rFonts w:ascii="Arial" w:hAnsi="Arial" w:eastAsia="Arial" w:cs="Arial"/>
      <w:i/>
      <w:iCs/>
      <w:sz w:val="22"/>
      <w:szCs w:val="22"/>
    </w:rPr>
  </w:style>
  <w:style w:type="paragraph" w:styleId="1650">
    <w:name w:val="Heading 9"/>
    <w:basedOn w:val="1805"/>
    <w:next w:val="1805"/>
    <w:link w:val="1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51">
    <w:name w:val="Heading 9 Char"/>
    <w:basedOn w:val="1807"/>
    <w:link w:val="1650"/>
    <w:uiPriority w:val="9"/>
    <w:rPr>
      <w:rFonts w:ascii="Arial" w:hAnsi="Arial" w:eastAsia="Arial" w:cs="Arial"/>
      <w:i/>
      <w:iCs/>
      <w:sz w:val="21"/>
      <w:szCs w:val="21"/>
    </w:rPr>
  </w:style>
  <w:style w:type="paragraph" w:styleId="1652">
    <w:name w:val="No Spacing"/>
    <w:uiPriority w:val="1"/>
    <w:qFormat/>
    <w:pPr>
      <w:spacing w:before="0" w:after="0" w:line="240" w:lineRule="auto"/>
    </w:pPr>
  </w:style>
  <w:style w:type="paragraph" w:styleId="1653">
    <w:name w:val="Title"/>
    <w:basedOn w:val="1805"/>
    <w:next w:val="1805"/>
    <w:link w:val="1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654">
    <w:name w:val="Title Char"/>
    <w:basedOn w:val="1807"/>
    <w:link w:val="1653"/>
    <w:uiPriority w:val="10"/>
    <w:rPr>
      <w:sz w:val="48"/>
      <w:szCs w:val="48"/>
    </w:rPr>
  </w:style>
  <w:style w:type="paragraph" w:styleId="1655">
    <w:name w:val="Subtitle"/>
    <w:basedOn w:val="1805"/>
    <w:next w:val="1805"/>
    <w:link w:val="1656"/>
    <w:uiPriority w:val="11"/>
    <w:qFormat/>
    <w:pPr>
      <w:spacing w:before="200" w:after="200"/>
    </w:pPr>
    <w:rPr>
      <w:sz w:val="24"/>
      <w:szCs w:val="24"/>
    </w:rPr>
  </w:style>
  <w:style w:type="character" w:styleId="1656">
    <w:name w:val="Subtitle Char"/>
    <w:basedOn w:val="1807"/>
    <w:link w:val="1655"/>
    <w:uiPriority w:val="11"/>
    <w:rPr>
      <w:sz w:val="24"/>
      <w:szCs w:val="24"/>
    </w:rPr>
  </w:style>
  <w:style w:type="paragraph" w:styleId="1657">
    <w:name w:val="Quote"/>
    <w:basedOn w:val="1805"/>
    <w:next w:val="1805"/>
    <w:link w:val="1658"/>
    <w:uiPriority w:val="29"/>
    <w:qFormat/>
    <w:pPr>
      <w:ind w:left="720" w:right="720"/>
    </w:pPr>
    <w:rPr>
      <w:i/>
    </w:rPr>
  </w:style>
  <w:style w:type="character" w:styleId="1658">
    <w:name w:val="Quote Char"/>
    <w:link w:val="1657"/>
    <w:uiPriority w:val="29"/>
    <w:rPr>
      <w:i/>
    </w:rPr>
  </w:style>
  <w:style w:type="paragraph" w:styleId="1659">
    <w:name w:val="Intense Quote"/>
    <w:basedOn w:val="1805"/>
    <w:next w:val="1805"/>
    <w:link w:val="1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660">
    <w:name w:val="Intense Quote Char"/>
    <w:link w:val="1659"/>
    <w:uiPriority w:val="30"/>
    <w:rPr>
      <w:i/>
    </w:rPr>
  </w:style>
  <w:style w:type="character" w:styleId="1661">
    <w:name w:val="Header Char"/>
    <w:basedOn w:val="1807"/>
    <w:link w:val="1810"/>
    <w:uiPriority w:val="99"/>
  </w:style>
  <w:style w:type="character" w:styleId="1662">
    <w:name w:val="Footer Char"/>
    <w:basedOn w:val="1807"/>
    <w:link w:val="1812"/>
    <w:uiPriority w:val="99"/>
  </w:style>
  <w:style w:type="character" w:styleId="1663">
    <w:name w:val="Caption Char"/>
    <w:basedOn w:val="1826"/>
    <w:link w:val="1812"/>
    <w:uiPriority w:val="99"/>
  </w:style>
  <w:style w:type="table" w:styleId="1664">
    <w:name w:val="Table Grid Light"/>
    <w:basedOn w:val="1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65">
    <w:name w:val="Plain Table 1"/>
    <w:basedOn w:val="1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6">
    <w:name w:val="Plain Table 2"/>
    <w:basedOn w:val="18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7">
    <w:name w:val="Plain Table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68">
    <w:name w:val="Plain Table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9">
    <w:name w:val="Plain Table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70">
    <w:name w:val="Grid Table 1 Light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1">
    <w:name w:val="Grid Table 1 Light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2">
    <w:name w:val="Grid Table 1 Light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3">
    <w:name w:val="Grid Table 1 Light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4">
    <w:name w:val="Grid Table 1 Light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5">
    <w:name w:val="Grid Table 1 Light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6">
    <w:name w:val="Grid Table 1 Light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7">
    <w:name w:val="Grid Table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8">
    <w:name w:val="Grid Table 2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9">
    <w:name w:val="Grid Table 2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0">
    <w:name w:val="Grid Table 2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1">
    <w:name w:val="Grid Table 2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2">
    <w:name w:val="Grid Table 2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3">
    <w:name w:val="Grid Table 2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4">
    <w:name w:val="Grid Table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5">
    <w:name w:val="Grid Table 3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6">
    <w:name w:val="Grid Table 3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7">
    <w:name w:val="Grid Table 3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8">
    <w:name w:val="Grid Table 3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9">
    <w:name w:val="Grid Table 3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0">
    <w:name w:val="Grid Table 3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1">
    <w:name w:val="Grid Table 4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92">
    <w:name w:val="Grid Table 4 - Accent 1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93">
    <w:name w:val="Grid Table 4 - Accent 2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94">
    <w:name w:val="Grid Table 4 - Accent 3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95">
    <w:name w:val="Grid Table 4 - Accent 4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96">
    <w:name w:val="Grid Table 4 - Accent 5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97">
    <w:name w:val="Grid Table 4 - Accent 6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98">
    <w:name w:val="Grid Table 5 Dark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699">
    <w:name w:val="Grid Table 5 Dark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700">
    <w:name w:val="Grid Table 5 Dark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701">
    <w:name w:val="Grid Table 5 Dark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702">
    <w:name w:val="Grid Table 5 Dark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703">
    <w:name w:val="Grid Table 5 Dark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704">
    <w:name w:val="Grid Table 5 Dark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705">
    <w:name w:val="Grid Table 6 Colorful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706">
    <w:name w:val="Grid Table 6 Colorful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707">
    <w:name w:val="Grid Table 6 Colorful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708">
    <w:name w:val="Grid Table 6 Colorful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709">
    <w:name w:val="Grid Table 6 Colorful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710">
    <w:name w:val="Grid Table 6 Colorful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1">
    <w:name w:val="Grid Table 6 Colorful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2">
    <w:name w:val="Grid Table 7 Colorful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3">
    <w:name w:val="Grid Table 7 Colorful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4">
    <w:name w:val="Grid Table 7 Colorful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5">
    <w:name w:val="Grid Table 7 Colorful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6">
    <w:name w:val="Grid Table 7 Colorful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7">
    <w:name w:val="Grid Table 7 Colorful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8">
    <w:name w:val="Grid Table 7 Colorful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9">
    <w:name w:val="List Table 1 Light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0">
    <w:name w:val="List Table 1 Light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1">
    <w:name w:val="List Table 1 Light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2">
    <w:name w:val="List Table 1 Light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3">
    <w:name w:val="List Table 1 Light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4">
    <w:name w:val="List Table 1 Light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5">
    <w:name w:val="List Table 1 Light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6">
    <w:name w:val="List Table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727">
    <w:name w:val="List Table 2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728">
    <w:name w:val="List Table 2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729">
    <w:name w:val="List Table 2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730">
    <w:name w:val="List Table 2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731">
    <w:name w:val="List Table 2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732">
    <w:name w:val="List Table 2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733">
    <w:name w:val="List Table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4">
    <w:name w:val="List Table 3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5">
    <w:name w:val="List Table 3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6">
    <w:name w:val="List Table 3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7">
    <w:name w:val="List Table 3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8">
    <w:name w:val="List Table 3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9">
    <w:name w:val="List Table 3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0">
    <w:name w:val="List Table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1">
    <w:name w:val="List Table 4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2">
    <w:name w:val="List Table 4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3">
    <w:name w:val="List Table 4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4">
    <w:name w:val="List Table 4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5">
    <w:name w:val="List Table 4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6">
    <w:name w:val="List Table 4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7">
    <w:name w:val="List Table 5 Dark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8">
    <w:name w:val="List Table 5 Dark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9">
    <w:name w:val="List Table 5 Dark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0">
    <w:name w:val="List Table 5 Dark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1">
    <w:name w:val="List Table 5 Dark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2">
    <w:name w:val="List Table 5 Dark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3">
    <w:name w:val="List Table 5 Dark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4">
    <w:name w:val="List Table 6 Colorful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55">
    <w:name w:val="List Table 6 Colorful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56">
    <w:name w:val="List Table 6 Colorful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57">
    <w:name w:val="List Table 6 Colorful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58">
    <w:name w:val="List Table 6 Colorful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59">
    <w:name w:val="List Table 6 Colorful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60">
    <w:name w:val="List Table 6 Colorful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61">
    <w:name w:val="List Table 7 Colorful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62">
    <w:name w:val="List Table 7 Colorful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763">
    <w:name w:val="List Table 7 Colorful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764">
    <w:name w:val="List Table 7 Colorful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765">
    <w:name w:val="List Table 7 Colorful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766">
    <w:name w:val="List Table 7 Colorful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767">
    <w:name w:val="List Table 7 Colorful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768">
    <w:name w:val="Lined - Accent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69">
    <w:name w:val="Lined - Accent 1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70">
    <w:name w:val="Lined - Accent 2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1">
    <w:name w:val="Lined - Accent 3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2">
    <w:name w:val="Lined - Accent 4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73">
    <w:name w:val="Lined - Accent 5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74">
    <w:name w:val="Lined - Accent 6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75">
    <w:name w:val="Bordered &amp; Lined - Accent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76">
    <w:name w:val="Bordered &amp; Lined - Accent 1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77">
    <w:name w:val="Bordered &amp; Lined - Accent 2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8">
    <w:name w:val="Bordered &amp; Lined - Accent 3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9">
    <w:name w:val="Bordered &amp; Lined - Accent 4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80">
    <w:name w:val="Bordered &amp; Lined - Accent 5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81">
    <w:name w:val="Bordered &amp; Lined - Accent 6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82">
    <w:name w:val="Bordered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83">
    <w:name w:val="Bordered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84">
    <w:name w:val="Bordered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85">
    <w:name w:val="Bordered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86">
    <w:name w:val="Bordered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87">
    <w:name w:val="Bordered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88">
    <w:name w:val="Bordered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89">
    <w:name w:val="Hyperlink"/>
    <w:uiPriority w:val="99"/>
    <w:unhideWhenUsed/>
    <w:rPr>
      <w:color w:val="0000ff" w:themeColor="hyperlink"/>
      <w:u w:val="single"/>
    </w:rPr>
  </w:style>
  <w:style w:type="character" w:styleId="1790">
    <w:name w:val="Footnote Text Char"/>
    <w:link w:val="1816"/>
    <w:uiPriority w:val="99"/>
    <w:rPr>
      <w:sz w:val="18"/>
    </w:rPr>
  </w:style>
  <w:style w:type="paragraph" w:styleId="1791">
    <w:name w:val="endnote text"/>
    <w:basedOn w:val="1805"/>
    <w:link w:val="1792"/>
    <w:uiPriority w:val="99"/>
    <w:semiHidden/>
    <w:unhideWhenUsed/>
    <w:pPr>
      <w:spacing w:after="0" w:line="240" w:lineRule="auto"/>
    </w:pPr>
    <w:rPr>
      <w:sz w:val="20"/>
    </w:rPr>
  </w:style>
  <w:style w:type="character" w:styleId="1792">
    <w:name w:val="Endnote Text Char"/>
    <w:link w:val="1791"/>
    <w:uiPriority w:val="99"/>
    <w:rPr>
      <w:sz w:val="20"/>
    </w:rPr>
  </w:style>
  <w:style w:type="character" w:styleId="1793">
    <w:name w:val="endnote reference"/>
    <w:basedOn w:val="1807"/>
    <w:uiPriority w:val="99"/>
    <w:semiHidden/>
    <w:unhideWhenUsed/>
    <w:rPr>
      <w:vertAlign w:val="superscript"/>
    </w:rPr>
  </w:style>
  <w:style w:type="paragraph" w:styleId="1794">
    <w:name w:val="toc 1"/>
    <w:basedOn w:val="1805"/>
    <w:next w:val="1805"/>
    <w:uiPriority w:val="39"/>
    <w:unhideWhenUsed/>
    <w:pPr>
      <w:ind w:left="0" w:right="0" w:firstLine="0"/>
      <w:spacing w:after="57"/>
    </w:pPr>
  </w:style>
  <w:style w:type="paragraph" w:styleId="1795">
    <w:name w:val="toc 2"/>
    <w:basedOn w:val="1805"/>
    <w:next w:val="1805"/>
    <w:uiPriority w:val="39"/>
    <w:unhideWhenUsed/>
    <w:pPr>
      <w:ind w:left="283" w:right="0" w:firstLine="0"/>
      <w:spacing w:after="57"/>
    </w:pPr>
  </w:style>
  <w:style w:type="paragraph" w:styleId="1796">
    <w:name w:val="toc 3"/>
    <w:basedOn w:val="1805"/>
    <w:next w:val="1805"/>
    <w:uiPriority w:val="39"/>
    <w:unhideWhenUsed/>
    <w:pPr>
      <w:ind w:left="567" w:right="0" w:firstLine="0"/>
      <w:spacing w:after="57"/>
    </w:pPr>
  </w:style>
  <w:style w:type="paragraph" w:styleId="1797">
    <w:name w:val="toc 4"/>
    <w:basedOn w:val="1805"/>
    <w:next w:val="1805"/>
    <w:uiPriority w:val="39"/>
    <w:unhideWhenUsed/>
    <w:pPr>
      <w:ind w:left="850" w:right="0" w:firstLine="0"/>
      <w:spacing w:after="57"/>
    </w:pPr>
  </w:style>
  <w:style w:type="paragraph" w:styleId="1798">
    <w:name w:val="toc 5"/>
    <w:basedOn w:val="1805"/>
    <w:next w:val="1805"/>
    <w:uiPriority w:val="39"/>
    <w:unhideWhenUsed/>
    <w:pPr>
      <w:ind w:left="1134" w:right="0" w:firstLine="0"/>
      <w:spacing w:after="57"/>
    </w:pPr>
  </w:style>
  <w:style w:type="paragraph" w:styleId="1799">
    <w:name w:val="toc 6"/>
    <w:basedOn w:val="1805"/>
    <w:next w:val="1805"/>
    <w:uiPriority w:val="39"/>
    <w:unhideWhenUsed/>
    <w:pPr>
      <w:ind w:left="1417" w:right="0" w:firstLine="0"/>
      <w:spacing w:after="57"/>
    </w:pPr>
  </w:style>
  <w:style w:type="paragraph" w:styleId="1800">
    <w:name w:val="toc 7"/>
    <w:basedOn w:val="1805"/>
    <w:next w:val="1805"/>
    <w:uiPriority w:val="39"/>
    <w:unhideWhenUsed/>
    <w:pPr>
      <w:ind w:left="1701" w:right="0" w:firstLine="0"/>
      <w:spacing w:after="57"/>
    </w:pPr>
  </w:style>
  <w:style w:type="paragraph" w:styleId="1801">
    <w:name w:val="toc 8"/>
    <w:basedOn w:val="1805"/>
    <w:next w:val="1805"/>
    <w:uiPriority w:val="39"/>
    <w:unhideWhenUsed/>
    <w:pPr>
      <w:ind w:left="1984" w:right="0" w:firstLine="0"/>
      <w:spacing w:after="57"/>
    </w:pPr>
  </w:style>
  <w:style w:type="paragraph" w:styleId="1802">
    <w:name w:val="toc 9"/>
    <w:basedOn w:val="1805"/>
    <w:next w:val="1805"/>
    <w:uiPriority w:val="39"/>
    <w:unhideWhenUsed/>
    <w:pPr>
      <w:ind w:left="2268" w:right="0" w:firstLine="0"/>
      <w:spacing w:after="57"/>
    </w:pPr>
  </w:style>
  <w:style w:type="paragraph" w:styleId="1803">
    <w:name w:val="TOC Heading"/>
    <w:uiPriority w:val="39"/>
    <w:unhideWhenUsed/>
  </w:style>
  <w:style w:type="paragraph" w:styleId="1804">
    <w:name w:val="table of figures"/>
    <w:basedOn w:val="1805"/>
    <w:next w:val="1805"/>
    <w:uiPriority w:val="99"/>
    <w:unhideWhenUsed/>
    <w:pPr>
      <w:spacing w:after="0" w:afterAutospacing="0"/>
    </w:pPr>
  </w:style>
  <w:style w:type="paragraph" w:styleId="1805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paragraph" w:styleId="1806">
    <w:name w:val="Heading 3"/>
    <w:basedOn w:val="1805"/>
    <w:next w:val="1805"/>
    <w:link w:val="1821"/>
    <w:uiPriority w:val="99"/>
    <w:qFormat/>
    <w:pPr>
      <w:ind w:firstLine="0"/>
      <w:jc w:val="center"/>
      <w:keepNext/>
      <w:outlineLvl w:val="2"/>
    </w:pPr>
    <w:rPr>
      <w:b/>
      <w:bCs/>
      <w:szCs w:val="22"/>
    </w:rPr>
  </w:style>
  <w:style w:type="character" w:styleId="1807" w:default="1">
    <w:name w:val="Default Paragraph Font"/>
    <w:uiPriority w:val="1"/>
    <w:semiHidden/>
    <w:unhideWhenUsed/>
  </w:style>
  <w:style w:type="table" w:styleId="18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09" w:default="1">
    <w:name w:val="No List"/>
    <w:uiPriority w:val="99"/>
    <w:semiHidden/>
    <w:unhideWhenUsed/>
  </w:style>
  <w:style w:type="paragraph" w:styleId="1810">
    <w:name w:val="Header"/>
    <w:basedOn w:val="1805"/>
    <w:link w:val="181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11" w:customStyle="1">
    <w:name w:val="Верхний колонтитул Знак"/>
    <w:basedOn w:val="1807"/>
    <w:link w:val="1810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12">
    <w:name w:val="Footer"/>
    <w:basedOn w:val="1805"/>
    <w:link w:val="18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13" w:customStyle="1">
    <w:name w:val="Нижний колонтитул Знак"/>
    <w:basedOn w:val="1807"/>
    <w:link w:val="1812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14">
    <w:name w:val="Body Text Indent 2"/>
    <w:basedOn w:val="1805"/>
    <w:link w:val="1815"/>
    <w:uiPriority w:val="99"/>
    <w:unhideWhenUsed/>
    <w:pPr>
      <w:ind w:left="283" w:firstLine="0"/>
      <w:jc w:val="left"/>
      <w:spacing w:after="120" w:line="480" w:lineRule="auto"/>
    </w:pPr>
    <w:rPr>
      <w:sz w:val="24"/>
    </w:rPr>
  </w:style>
  <w:style w:type="character" w:styleId="1815" w:customStyle="1">
    <w:name w:val="Основной текст с отступом 2 Знак"/>
    <w:basedOn w:val="1807"/>
    <w:link w:val="181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16">
    <w:name w:val="footnote text"/>
    <w:basedOn w:val="1805"/>
    <w:link w:val="1817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817" w:customStyle="1">
    <w:name w:val="Текст сноски Знак"/>
    <w:basedOn w:val="1807"/>
    <w:link w:val="1816"/>
    <w:uiPriority w:val="99"/>
    <w:rPr>
      <w:sz w:val="20"/>
      <w:szCs w:val="20"/>
    </w:rPr>
  </w:style>
  <w:style w:type="character" w:styleId="1818">
    <w:name w:val="footnote reference"/>
    <w:uiPriority w:val="99"/>
    <w:unhideWhenUsed/>
    <w:rPr>
      <w:vertAlign w:val="superscript"/>
    </w:rPr>
  </w:style>
  <w:style w:type="table" w:styleId="1819" w:customStyle="1">
    <w:name w:val="Сетка таблицы1"/>
    <w:basedOn w:val="1808"/>
    <w:next w:val="1820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20">
    <w:name w:val="Table Grid"/>
    <w:basedOn w:val="18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821" w:customStyle="1">
    <w:name w:val="Заголовок 3 Знак"/>
    <w:basedOn w:val="1807"/>
    <w:link w:val="1806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822">
    <w:name w:val="Body Text 2"/>
    <w:basedOn w:val="1805"/>
    <w:link w:val="1823"/>
    <w:uiPriority w:val="99"/>
    <w:semiHidden/>
    <w:pPr>
      <w:ind w:firstLine="0"/>
      <w:spacing w:after="120" w:line="480" w:lineRule="auto"/>
    </w:pPr>
    <w:rPr>
      <w:sz w:val="24"/>
    </w:rPr>
  </w:style>
  <w:style w:type="character" w:styleId="1823" w:customStyle="1">
    <w:name w:val="Основной текст 2 Знак"/>
    <w:basedOn w:val="1807"/>
    <w:link w:val="1822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24">
    <w:name w:val="Body Text"/>
    <w:basedOn w:val="1805"/>
    <w:link w:val="1825"/>
    <w:uiPriority w:val="99"/>
    <w:semiHidden/>
    <w:pPr>
      <w:ind w:firstLine="0"/>
      <w:spacing w:after="120" w:line="276" w:lineRule="auto"/>
    </w:pPr>
    <w:rPr>
      <w:sz w:val="24"/>
    </w:rPr>
  </w:style>
  <w:style w:type="character" w:styleId="1825" w:customStyle="1">
    <w:name w:val="Основной текст Знак"/>
    <w:basedOn w:val="1807"/>
    <w:link w:val="182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26">
    <w:name w:val="Caption"/>
    <w:basedOn w:val="1805"/>
    <w:next w:val="1805"/>
    <w:link w:val="1663"/>
    <w:uiPriority w:val="99"/>
    <w:qFormat/>
    <w:pPr>
      <w:ind w:firstLine="0"/>
      <w:jc w:val="center"/>
    </w:pPr>
    <w:rPr>
      <w:b/>
      <w:bCs/>
      <w:szCs w:val="28"/>
    </w:rPr>
  </w:style>
  <w:style w:type="paragraph" w:styleId="1827">
    <w:name w:val="List Paragraph"/>
    <w:basedOn w:val="1805"/>
    <w:uiPriority w:val="34"/>
    <w:qFormat/>
    <w:pPr>
      <w:contextualSpacing/>
      <w:ind w:left="720"/>
    </w:pPr>
  </w:style>
  <w:style w:type="paragraph" w:styleId="1828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829">
    <w:name w:val="Balloon Text"/>
    <w:basedOn w:val="1805"/>
    <w:link w:val="1830"/>
    <w:uiPriority w:val="99"/>
    <w:semiHidden/>
    <w:unhideWhenUsed/>
    <w:rPr>
      <w:rFonts w:ascii="Tahoma" w:hAnsi="Tahoma" w:cs="Tahoma"/>
      <w:sz w:val="16"/>
      <w:szCs w:val="16"/>
    </w:rPr>
  </w:style>
  <w:style w:type="character" w:styleId="1830" w:customStyle="1">
    <w:name w:val="Текст выноски Знак"/>
    <w:basedOn w:val="1807"/>
    <w:link w:val="1829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9DA7-186E-4F5D-A695-B0BC58AE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devyaterikova-in</cp:lastModifiedBy>
  <cp:revision>166</cp:revision>
  <dcterms:created xsi:type="dcterms:W3CDTF">2023-11-30T07:40:00Z</dcterms:created>
  <dcterms:modified xsi:type="dcterms:W3CDTF">2026-05-15T12:12:18Z</dcterms:modified>
</cp:coreProperties>
</file>