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03.06.2026 № 059-19-01-11-91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ru-RU"/>
        </w:rPr>
        <w:t xml:space="preserve"> 02.07.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электронного аукциона на право заключения договора аренды земельного участка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Электронный аукцион на право заключения договора аренды земельного участка (далее – аукцион) проводится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12"/>
          <w:szCs w:val="24"/>
        </w:rPr>
        <w:t xml:space="preserve"> </w:t>
      </w:r>
      <w:r>
        <w:rPr>
          <w:bCs/>
          <w:sz w:val="24"/>
          <w:szCs w:val="28"/>
        </w:rPr>
        <w:t>03.06.2026 № 059-19-01-11-91.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</w:t>
        <w:br/>
        <w:t>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Droid Sans Fallback" w:cs="Lohit Devanagari"/>
                <w:color w:val="000000"/>
                <w:sz w:val="24"/>
                <w:szCs w:val="28"/>
                <w:shd w:fill="auto" w:val="clear"/>
                <w:lang w:val="ru-RU" w:eastAsia="zh-CN" w:bidi="ar-SA"/>
              </w:rPr>
              <w:t>от 15 апреля 2026 г. № 21-01-03-2488 «О проведении аукциона на право заключения договора аренды земельного участка в Мотовилихинском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Заречная, з/у 4в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59:01:0912010:244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27.05.2026г.                  № КУВИ-001/2026-71962365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23.03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РФ-59-2-03-0-00-2026-0577-0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2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Визуально объекты движимого и/или недвижимого имущества не определяются.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По данным МЧС, близлежащие источники противопожарного водоснабжения в отношении испрашиваемого земельного участка: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- пожарный водоем объемом 60 м3 по ул. Пановой, 41, на расстоянии 200 м.;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- естественный водоем (пруд), расположен на расстоянии 300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администрации Мотовилихинского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17.03.2026 № 059-36-01-42/3-39, в акте обследования от 17.03.2026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Согласно</w:t>
            </w:r>
            <w:r>
              <w:rPr>
                <w:sz w:val="24"/>
                <w:szCs w:val="24"/>
                <w:highlight w:val="white"/>
              </w:rPr>
              <w:t xml:space="preserve"> сведениям из ЕГРН и копии планшета М 1:500 (требуется корректура)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white"/>
              </w:rPr>
              <w:t>геодезической съемке, выполненной в 2024 году,</w:t>
            </w:r>
            <w:r>
              <w:rPr>
                <w:sz w:val="24"/>
                <w:szCs w:val="24"/>
                <w:highlight w:val="white"/>
              </w:rPr>
              <w:t xml:space="preserve"> на территории Участка расположена гравийная дорога.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Cs w:val="24"/>
                <w:highlight w:val="white"/>
                <w14:ligatures w14:val="none"/>
              </w:rPr>
            </w:pPr>
            <w:r>
              <w:rPr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содержащимся в ГПЗУ, ЕГРН </w:t>
              <w:br/>
              <w:t>и справке по градостроительным условиям от 27.05.2026 № 681185,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полностью в Приаэродромной территории аэродрома аэропорта Большое Савино, реестровый номер границы 59:32-6.553;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Проектирование и строительство вести в соответствии с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  <w14:ligatures w14:val="non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color w:themeColor="text1" w:val="000000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произрастает 35 деревьев – ель 14 шт., тополь 11 шт., клен 9 шт., береза 1 шт. 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12.03.2026 № 51.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12.03.2026 № 059-33-01-10/3-144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 </w:t>
              <w:br/>
              <w:t>на период 2025-2029 годы и Программой комплексного развития транспортной инфраструктуры города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Перми </w:t>
              <w:br/>
              <w:t>на 2025-2043 годы, утвержденной Решением Пермской городской Думы 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16.12.2025 № 238, мероприятия </w:t>
              <w:br/>
              <w:t>по строительству,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реконструкции,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капитальному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ремонту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улично-дорожной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сети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sz w:val="24"/>
                <w:szCs w:val="24"/>
                <w:highlight w:val="white"/>
              </w:rPr>
              <w:t>благоустройства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13.03.2026 № 059-24-01-36/3-679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Источники противопожарного водоснабжения на указанной территории отсутствуют. Ближайший ИПВ (пожарный водоем) расположен в радиусе 235 метров по адресу: ул. Пановой, 41.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Уральская, 74 (ПСЧ-3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Объекты общественной безопасности, отнесенные к объектам полиции (участковые пункты полиции) в данном микрорайоне (Центральная Усадьба) отсутствуют. Ближайший участковый пункт полиции расположен по адресу: г. Пермь, ул. Колыбалова, 22 (микрорайон Запруд, Мотовилихинский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 информации, предоставленной Министерством территориальной безопасности Пермского края (письмо от 07.10.2020 № 964с), рассматриваемый земельный участок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highlight w:val="white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12.03.2026 № 059-10-01-27/3-371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31.12.2013 № 1291).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</w:t>
              <w:br/>
              <w:t>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pacing w:val="-6"/>
                <w:sz w:val="24"/>
                <w:highlight w:val="white"/>
              </w:rPr>
              <w:t>Максимальный процент застройки в границах Участка –</w:t>
            </w:r>
            <w:r>
              <w:rPr>
                <w:sz w:val="24"/>
                <w:highlight w:val="white"/>
              </w:rPr>
              <w:t xml:space="preserve"> 40%.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Порядок технологического присоединения </w:t>
              <w:br/>
              <w:t>к электрическим сетям регламентирован Правилами технологического присоединения энергопринимающих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 (далее –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Дополнительно сообщается, что в границах Участка сетей ПАО «Россети Урал» и их охранных зон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11" w:tgtFrame="https://">
              <w:r>
                <w:rPr>
                  <w:rStyle w:val="Hyperlink"/>
                  <w:color w:themeColor="text1" w:val="000000"/>
                  <w:sz w:val="24"/>
                  <w:szCs w:val="24"/>
                  <w:highlight w:val="white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</w:t>
              <w:br/>
              <w:t xml:space="preserve">ул. Камчатовская, д. 26, а также почтовым отправлением по адресу: 314016, г. Пермь, ул. Камчатовская, 26. </w:t>
              <w:br/>
              <w:t>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>от 24.03.2026 № ПЭ/ПГЭС/01/22/4061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16.03.2026 № ПФ-1693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6"/>
                <w:highlight w:val="whit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 настоящее время отсутствует техническая возможность подключения объекта к централизованным системам водоснабжения и водоотведения, поскольку в районе указанного Вами земельного участка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Ближайшие сети водоснабжения и водоотведения, эксплуатируемые ООО «НОВОГОР-Прикамье», располагаются ориентировочно на расстоянии 4,10 п.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6"/>
                <w:highlight w:val="whit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При проектировании могут быть применены альтернативные способы водоснабжения и водоотведения, бeз подключения к централизованным системам водопровода и канализации г. Перми (снабжение водой от скважины, отвод стоков </w:t>
              <w:br/>
              <w:t>на локальные очистные сооружения, канализование объекта в выгребную яму с последующим вывозом стоков спец. машинами), которые должны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ООО «НОВО</w:t>
            </w:r>
            <w:bookmarkStart w:id="0" w:name="undefined_Копия_1"/>
            <w:bookmarkEnd w:id="0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>от 12.03.2026 № 110-3334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10.03.2026 № 51000-32-00912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  <w:highlight w:val="white"/>
              </w:rPr>
              <w:t>от 12.03.2026 № 059-04-25/3-41-ри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  <w:highlight w:val="white"/>
              </w:rPr>
              <w:t>часток расположен на территории индивидуальной жилой застройки и находятся вне зоны теплоснабжения ресурсоснабжающих организаций.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highlight w:val="white"/>
              </w:rPr>
              <w:t>екомендовано рассмотреть альтернативные варианты индивидуального теплоснабжения объектов капитального строительства.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дминистрации Мотовилихинского района города Перми </w:t>
            </w:r>
            <w:r>
              <w:rPr>
                <w:b w:val="false"/>
                <w:bCs w:val="false"/>
                <w:sz w:val="24"/>
                <w:szCs w:val="24"/>
                <w:highlight w:val="white"/>
              </w:rPr>
              <w:t>от 13.03.2026 № 059-36-01-48/3-</w:t>
            </w:r>
            <w:r>
              <w:rPr>
                <w:b w:val="false"/>
                <w:bCs w:val="false"/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в точке подключения узел ВОЛС (г. Пермь, ул. Лебедева, 9а),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максимальную нагрузку в точке подключения (технологического присоединения)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вышеуказанного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>Для получения технических условий на подключение к сетям связи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ПАО «Ростелеком» необходимо обратиться в Отдел продаж и обслуживания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по адресу: г. Пермь, </w:t>
              <w:br/>
              <w:t>ул. Крупской, 2, тел.: (342) 235-57-34 или направить запрос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на </w:t>
            </w:r>
            <w:hyperlink r:id="rId12">
              <w:r>
                <w:rPr>
                  <w:rStyle w:val="Hyperlink"/>
                  <w:color w:val="000000"/>
                  <w:sz w:val="24"/>
                  <w:szCs w:val="24"/>
                  <w:highlight w:val="white"/>
                </w:rPr>
                <w:t>perm-mail@ural.rt.ru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11.03.2026 № 01/05/35277/26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  <w14:ligatures w14:val="none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 строительство сетей водоснабжения и водоотведения в мкр. Центральная усадьба.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  <w14:ligatures w14:val="non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  <w14:ligatures w14:val="none"/>
              </w:rPr>
              <w:t xml:space="preserve"> от 11.03.2026 № 059-04-17/3-181-ри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1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431 000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21 550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</w:t>
              <w:br/>
              <w:t>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</w:t>
              <w:br/>
              <w:t>о государственной регистрации юридического лица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215 500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687" w:left="-567" w:right="0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05.06.2026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30.06.2026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01.07.2026.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02.07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</w:t>
        <w:br/>
        <w:t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3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05.06.2026 по 30.06.2026.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05.06.2026 по 30.06.2026 с 9.00 до 18.00 по местному времени (7:00 – 16:00 МСК). </w:t>
      </w:r>
    </w:p>
    <w:p>
      <w:pPr>
        <w:pStyle w:val="NormalWeb"/>
        <w:jc w:val="center"/>
        <w:rPr>
          <w:highlight w:val="none"/>
        </w:rPr>
      </w:pPr>
      <w:r>
        <w:rPr/>
      </w:r>
    </w:p>
    <w:p>
      <w:pPr>
        <w:pStyle w:val="NormalWeb"/>
        <w:jc w:val="center"/>
        <w:rPr>
          <w:b/>
          <w:bCs/>
          <w:color w:val="000000"/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данных заявителя на универсальной торговой платформе, актуальные на дату </w:t>
        <w:br/>
        <w:t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</w:t>
        <w:br/>
        <w:t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</w:t>
        <w:br/>
        <w:t>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 договора является частью извещения и представлен в Приложении 1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14"/>
      <w:headerReference w:type="first" r:id="rId15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16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mailto:perm-mail@ural.rt.ru" TargetMode="External"/><Relationship Id="rId13" Type="http://schemas.openxmlformats.org/officeDocument/2006/relationships/hyperlink" Target="http://utp.sberbank-ast.ru/AP/Notice/653/Requisites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LibreOffice/7.6.7.2$Linux_X86_64 LibreOffice_project/60$Build-2</Application>
  <AppVersion>15.0000</AppVersion>
  <Pages>16</Pages>
  <Words>5590</Words>
  <Characters>39439</Characters>
  <CharactersWithSpaces>44910</CharactersWithSpaces>
  <Paragraphs>253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2026-06-03T15:59:21Z</dcterms:modified>
  <cp:revision>443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